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0FCB0">
      <w:pPr>
        <w:widowControl/>
        <w:spacing w:line="560" w:lineRule="exact"/>
        <w:jc w:val="center"/>
        <w:rPr>
          <w:rFonts w:ascii="宋体"/>
          <w:b/>
          <w:bCs/>
          <w:color w:val="auto"/>
          <w:kern w:val="0"/>
          <w:sz w:val="44"/>
          <w:szCs w:val="44"/>
          <w:highlight w:val="none"/>
        </w:rPr>
      </w:pPr>
      <w:bookmarkStart w:id="3" w:name="_GoBack"/>
      <w:r>
        <w:rPr>
          <w:rFonts w:hint="eastAsia" w:ascii="宋体" w:hAnsi="宋体" w:cs="宋体"/>
          <w:b/>
          <w:bCs/>
          <w:color w:val="auto"/>
          <w:kern w:val="0"/>
          <w:sz w:val="44"/>
          <w:szCs w:val="44"/>
          <w:highlight w:val="none"/>
        </w:rPr>
        <w:t>厦门三圈电池有限公司</w:t>
      </w:r>
    </w:p>
    <w:p w14:paraId="552AA5DB">
      <w:pPr>
        <w:spacing w:line="560" w:lineRule="exact"/>
        <w:jc w:val="center"/>
        <w:rPr>
          <w:rFonts w:ascii="宋体" w:hAnsi="宋体" w:cs="宋体"/>
          <w:b/>
          <w:bCs/>
          <w:color w:val="auto"/>
          <w:kern w:val="0"/>
          <w:sz w:val="44"/>
          <w:szCs w:val="44"/>
          <w:highlight w:val="none"/>
        </w:rPr>
      </w:pPr>
      <w:r>
        <w:rPr>
          <w:rFonts w:hint="eastAsia" w:ascii="宋体" w:hAnsi="宋体" w:cs="宋体"/>
          <w:b/>
          <w:bCs/>
          <w:color w:val="auto"/>
          <w:kern w:val="0"/>
          <w:sz w:val="44"/>
          <w:szCs w:val="44"/>
          <w:highlight w:val="none"/>
        </w:rPr>
        <w:t>食堂食材供货及配送采购项目</w:t>
      </w:r>
    </w:p>
    <w:p w14:paraId="179FA4A2">
      <w:pPr>
        <w:spacing w:line="560" w:lineRule="exact"/>
        <w:jc w:val="center"/>
        <w:rPr>
          <w:rFonts w:ascii="宋体" w:hAnsi="宋体" w:cs="宋体"/>
          <w:b/>
          <w:bCs/>
          <w:color w:val="auto"/>
          <w:kern w:val="0"/>
          <w:sz w:val="44"/>
          <w:szCs w:val="44"/>
          <w:highlight w:val="none"/>
        </w:rPr>
      </w:pPr>
      <w:r>
        <w:rPr>
          <w:rFonts w:hint="eastAsia" w:ascii="宋体" w:hAnsi="宋体" w:cs="宋体"/>
          <w:b/>
          <w:bCs/>
          <w:color w:val="auto"/>
          <w:kern w:val="0"/>
          <w:sz w:val="44"/>
          <w:szCs w:val="44"/>
          <w:highlight w:val="none"/>
        </w:rPr>
        <w:t>公开招标公告</w:t>
      </w:r>
    </w:p>
    <w:p w14:paraId="4AC11F92">
      <w:pPr>
        <w:spacing w:line="560" w:lineRule="exact"/>
        <w:ind w:firstLine="640" w:firstLineChars="200"/>
        <w:rPr>
          <w:rFonts w:ascii="宋体" w:hAnsi="宋体" w:cs="宋体"/>
          <w:color w:val="auto"/>
          <w:sz w:val="32"/>
          <w:szCs w:val="32"/>
          <w:highlight w:val="none"/>
        </w:rPr>
      </w:pPr>
    </w:p>
    <w:p w14:paraId="0C1E8D74">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bookmarkStart w:id="0" w:name="_Toc215367546"/>
      <w:bookmarkStart w:id="1" w:name="_Toc142729950"/>
      <w:bookmarkStart w:id="2" w:name="OLE_LINK1"/>
      <w:r>
        <w:rPr>
          <w:rFonts w:hint="eastAsia" w:ascii="仿宋" w:hAnsi="仿宋" w:eastAsia="仿宋" w:cs="仿宋"/>
          <w:color w:val="auto"/>
          <w:sz w:val="32"/>
          <w:szCs w:val="32"/>
          <w:highlight w:val="none"/>
        </w:rPr>
        <w:t>我司食堂食材供货及配送采购项目进行公开招标，欢迎具备资质的单位报名投标。</w:t>
      </w:r>
    </w:p>
    <w:p w14:paraId="4CCC0CB6">
      <w:pPr>
        <w:keepNext w:val="0"/>
        <w:keepLines w:val="0"/>
        <w:pageBreakBefore w:val="0"/>
        <w:widowControl w:val="0"/>
        <w:kinsoku/>
        <w:wordWrap/>
        <w:overflowPunct/>
        <w:topLinePunct w:val="0"/>
        <w:autoSpaceDE/>
        <w:autoSpaceDN/>
        <w:bidi w:val="0"/>
        <w:adjustRightInd/>
        <w:snapToGrid/>
        <w:spacing w:line="560" w:lineRule="exact"/>
        <w:ind w:left="0" w:right="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一、投标资格</w:t>
      </w:r>
    </w:p>
    <w:p w14:paraId="68BF57B2">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参加报名的投标单位必须具备独立法人资格及相应的。</w:t>
      </w:r>
      <w:r>
        <w:rPr>
          <w:rFonts w:hint="eastAsia" w:ascii="仿宋" w:hAnsi="仿宋" w:eastAsia="仿宋" w:cs="仿宋"/>
          <w:color w:val="auto"/>
          <w:sz w:val="32"/>
          <w:szCs w:val="32"/>
          <w:highlight w:val="none"/>
        </w:rPr>
        <w:t>应</w:t>
      </w:r>
      <w:r>
        <w:rPr>
          <w:rFonts w:hint="eastAsia" w:ascii="仿宋" w:hAnsi="仿宋" w:eastAsia="仿宋" w:cs="宋体"/>
          <w:color w:val="auto"/>
          <w:sz w:val="32"/>
          <w:szCs w:val="32"/>
          <w:highlight w:val="none"/>
        </w:rPr>
        <w:t>具备有效</w:t>
      </w:r>
      <w:r>
        <w:rPr>
          <w:rFonts w:hint="eastAsia" w:ascii="仿宋" w:hAnsi="仿宋" w:eastAsia="仿宋" w:cs="仿宋_GB2312"/>
          <w:color w:val="auto"/>
          <w:sz w:val="32"/>
          <w:szCs w:val="32"/>
          <w:highlight w:val="none"/>
        </w:rPr>
        <w:t>食品经营许可证、蔬菜上市凭证等资质</w:t>
      </w:r>
      <w:r>
        <w:rPr>
          <w:rFonts w:hint="eastAsia" w:ascii="仿宋" w:hAnsi="仿宋" w:eastAsia="仿宋" w:cs="仿宋"/>
          <w:color w:val="auto"/>
          <w:sz w:val="32"/>
          <w:szCs w:val="32"/>
          <w:highlight w:val="none"/>
        </w:rPr>
        <w:t>。</w:t>
      </w:r>
    </w:p>
    <w:p w14:paraId="242BB083">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两个（含两个）以上单位的法定代表人为同一人的或存在控制或参股等关联关系的企业，只允许一个单位参加投标。</w:t>
      </w:r>
    </w:p>
    <w:p w14:paraId="06B299BA">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3、投标人在https://www.creditchina.gov.cn/（信用中国网）未被列入重大税收违法案件当事人名单，查询时间为邀请招标之日至响应文件递交的截止时间。</w:t>
      </w:r>
    </w:p>
    <w:p w14:paraId="642B7C6E">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4、投标人在http://zxgk.court.gov.cn/shixin/（中国执行信息公开网）未被列入失信被执行人，查询时间为邀请招标之日至响应文件递交的截止时间。</w:t>
      </w:r>
    </w:p>
    <w:p w14:paraId="456BF9D3">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宋体"/>
          <w:color w:val="auto"/>
          <w:sz w:val="32"/>
          <w:szCs w:val="32"/>
          <w:highlight w:val="none"/>
        </w:rPr>
        <w:t>其他资质证明文件。</w:t>
      </w:r>
    </w:p>
    <w:p w14:paraId="5F5FC2A0">
      <w:pPr>
        <w:keepNext w:val="0"/>
        <w:keepLines w:val="0"/>
        <w:pageBreakBefore w:val="0"/>
        <w:widowControl w:val="0"/>
        <w:kinsoku/>
        <w:wordWrap/>
        <w:overflowPunct/>
        <w:topLinePunct w:val="0"/>
        <w:autoSpaceDE/>
        <w:autoSpaceDN/>
        <w:bidi w:val="0"/>
        <w:adjustRightInd/>
        <w:snapToGrid/>
        <w:spacing w:line="560" w:lineRule="exact"/>
        <w:ind w:left="0" w:right="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二、投标控制价及保证金</w:t>
      </w:r>
    </w:p>
    <w:p w14:paraId="4A51D94C">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1.投标控制价：</w:t>
      </w:r>
      <w:r>
        <w:rPr>
          <w:rFonts w:hint="eastAsia" w:ascii="仿宋" w:hAnsi="仿宋" w:eastAsia="仿宋" w:cs="宋体"/>
          <w:bCs/>
          <w:color w:val="auto"/>
          <w:sz w:val="32"/>
          <w:szCs w:val="32"/>
          <w:highlight w:val="none"/>
        </w:rPr>
        <w:t>本项目食材价格数据以“农贸市场”及“超市”两项数据的各项商品平均价格作为</w:t>
      </w:r>
      <w:r>
        <w:rPr>
          <w:rFonts w:hint="eastAsia" w:ascii="仿宋" w:hAnsi="仿宋" w:eastAsia="仿宋" w:cs="宋体"/>
          <w:bCs/>
          <w:color w:val="auto"/>
          <w:sz w:val="32"/>
          <w:szCs w:val="32"/>
          <w:highlight w:val="none"/>
          <w:lang w:val="en-US" w:eastAsia="zh-CN"/>
        </w:rPr>
        <w:t>控制价，</w:t>
      </w:r>
      <w:r>
        <w:rPr>
          <w:rFonts w:hint="eastAsia" w:ascii="仿宋" w:hAnsi="仿宋" w:eastAsia="仿宋" w:cs="仿宋"/>
          <w:color w:val="auto"/>
          <w:sz w:val="32"/>
          <w:szCs w:val="32"/>
          <w:highlight w:val="none"/>
        </w:rPr>
        <w:t>本次采用折扣率报价方式，投标人按各食材类别的投标固定优惠折扣率进行报价，各食材类别的投标固定优惠折扣率均不得超过最高限价100%，否则其投标作无效投标处理。</w:t>
      </w:r>
    </w:p>
    <w:p w14:paraId="5D9D0B1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2.投标保证金形式：银行转账，投标保证金应从投标单位账户汇出，并按“食堂食材供货及配送采购项目+投标单位名称+投标保证金”格式进行备注。</w:t>
      </w:r>
    </w:p>
    <w:p w14:paraId="749A2DE1">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3.投标保证金金额：人民币20000元（大写：贰万元整）。</w:t>
      </w:r>
    </w:p>
    <w:p w14:paraId="14D330C3">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 未中标单位于中标结果公示期满5个工作日内全额退还至投标单位原汇出账户（不计利息）；中标单位投标保证金转为履约保证金，待合同期限届满且期内无任何违约情形的，于5个工作日内全额退还至投标单位原汇出账户（不计利息）。</w:t>
      </w:r>
    </w:p>
    <w:p w14:paraId="4E0DAF3A">
      <w:pPr>
        <w:pStyle w:val="4"/>
        <w:keepNext w:val="0"/>
        <w:keepLines w:val="0"/>
        <w:pageBreakBefore w:val="0"/>
        <w:widowControl w:val="0"/>
        <w:kinsoku/>
        <w:wordWrap/>
        <w:overflowPunct/>
        <w:topLinePunct w:val="0"/>
        <w:autoSpaceDE/>
        <w:autoSpaceDN/>
        <w:bidi w:val="0"/>
        <w:adjustRightInd/>
        <w:snapToGrid/>
        <w:spacing w:before="0" w:line="560" w:lineRule="exact"/>
        <w:ind w:left="0" w:right="0" w:firstLine="566"/>
        <w:textAlignment w:val="auto"/>
        <w:rPr>
          <w:rFonts w:ascii="仿宋" w:hAnsi="仿宋" w:eastAsia="仿宋"/>
          <w:color w:val="auto"/>
          <w:sz w:val="32"/>
          <w:szCs w:val="32"/>
          <w:highlight w:val="none"/>
          <w:lang w:eastAsia="zh-CN"/>
        </w:rPr>
      </w:pPr>
      <w:r>
        <w:rPr>
          <w:rFonts w:hint="eastAsia" w:ascii="仿宋" w:hAnsi="仿宋" w:eastAsia="仿宋" w:cs="仿宋"/>
          <w:color w:val="auto"/>
          <w:sz w:val="32"/>
          <w:szCs w:val="32"/>
          <w:highlight w:val="none"/>
          <w:lang w:eastAsia="zh-CN"/>
        </w:rPr>
        <w:t>5.</w:t>
      </w:r>
      <w:r>
        <w:rPr>
          <w:rFonts w:hint="eastAsia" w:ascii="仿宋" w:hAnsi="仿宋" w:eastAsia="仿宋"/>
          <w:color w:val="auto"/>
          <w:sz w:val="32"/>
          <w:szCs w:val="32"/>
          <w:highlight w:val="none"/>
          <w:lang w:eastAsia="zh-CN"/>
        </w:rPr>
        <w:t xml:space="preserve"> 账户名：厦门三圈电池有限公司</w:t>
      </w:r>
    </w:p>
    <w:p w14:paraId="463A33C5">
      <w:pPr>
        <w:pStyle w:val="4"/>
        <w:keepNext w:val="0"/>
        <w:keepLines w:val="0"/>
        <w:pageBreakBefore w:val="0"/>
        <w:widowControl w:val="0"/>
        <w:kinsoku/>
        <w:wordWrap/>
        <w:overflowPunct/>
        <w:topLinePunct w:val="0"/>
        <w:autoSpaceDE/>
        <w:autoSpaceDN/>
        <w:bidi w:val="0"/>
        <w:adjustRightInd/>
        <w:snapToGrid/>
        <w:spacing w:before="0" w:line="560" w:lineRule="exact"/>
        <w:ind w:left="0" w:right="0" w:firstLine="566"/>
        <w:textAlignment w:val="auto"/>
        <w:rPr>
          <w:rFonts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开户银行：中国建设银行厦门营业部</w:t>
      </w:r>
    </w:p>
    <w:p w14:paraId="7F4BB97F">
      <w:pPr>
        <w:pStyle w:val="4"/>
        <w:keepNext w:val="0"/>
        <w:keepLines w:val="0"/>
        <w:pageBreakBefore w:val="0"/>
        <w:widowControl w:val="0"/>
        <w:kinsoku/>
        <w:wordWrap/>
        <w:overflowPunct/>
        <w:topLinePunct w:val="0"/>
        <w:autoSpaceDE/>
        <w:autoSpaceDN/>
        <w:bidi w:val="0"/>
        <w:adjustRightInd/>
        <w:snapToGrid/>
        <w:spacing w:before="0" w:line="560" w:lineRule="exact"/>
        <w:ind w:left="0" w:right="0" w:firstLine="566"/>
        <w:textAlignment w:val="auto"/>
        <w:rPr>
          <w:rFonts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账号：35101535001050014213</w:t>
      </w:r>
    </w:p>
    <w:bookmarkEnd w:id="0"/>
    <w:bookmarkEnd w:id="1"/>
    <w:bookmarkEnd w:id="2"/>
    <w:p w14:paraId="4EC772DE">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三、招标期限及</w:t>
      </w:r>
      <w:r>
        <w:rPr>
          <w:rFonts w:ascii="黑体" w:hAnsi="黑体" w:eastAsia="黑体" w:cs="宋体"/>
          <w:bCs/>
          <w:color w:val="auto"/>
          <w:sz w:val="32"/>
          <w:szCs w:val="32"/>
          <w:highlight w:val="none"/>
        </w:rPr>
        <w:t>项目内容</w:t>
      </w:r>
    </w:p>
    <w:p w14:paraId="113DC0D2">
      <w:pPr>
        <w:spacing w:line="500" w:lineRule="exact"/>
        <w:ind w:firstLine="640" w:firstLineChars="200"/>
        <w:rPr>
          <w:rFonts w:ascii="仿宋" w:hAnsi="仿宋" w:eastAsia="仿宋" w:cs="宋体"/>
          <w:color w:val="auto"/>
          <w:sz w:val="32"/>
          <w:szCs w:val="32"/>
          <w:highlight w:val="none"/>
        </w:rPr>
      </w:pPr>
      <w:r>
        <w:rPr>
          <w:rFonts w:hint="eastAsia" w:ascii="仿宋" w:hAnsi="仿宋" w:eastAsia="仿宋" w:cs="宋体"/>
          <w:bCs/>
          <w:color w:val="auto"/>
          <w:sz w:val="32"/>
          <w:szCs w:val="32"/>
          <w:highlight w:val="none"/>
        </w:rPr>
        <w:t>1、招标期限：</w:t>
      </w:r>
      <w:r>
        <w:rPr>
          <w:rFonts w:ascii="仿宋" w:hAnsi="仿宋" w:eastAsia="仿宋" w:cs="宋体"/>
          <w:color w:val="auto"/>
          <w:sz w:val="32"/>
          <w:szCs w:val="32"/>
          <w:highlight w:val="none"/>
        </w:rPr>
        <w:t>202</w:t>
      </w:r>
      <w:r>
        <w:rPr>
          <w:rFonts w:hint="eastAsia" w:ascii="仿宋" w:hAnsi="仿宋" w:eastAsia="仿宋" w:cs="宋体"/>
          <w:color w:val="auto"/>
          <w:sz w:val="32"/>
          <w:szCs w:val="32"/>
          <w:highlight w:val="none"/>
        </w:rPr>
        <w:t>6年3月</w:t>
      </w:r>
      <w:r>
        <w:rPr>
          <w:rFonts w:hint="eastAsia" w:ascii="仿宋" w:hAnsi="仿宋" w:eastAsia="仿宋" w:cs="宋体"/>
          <w:color w:val="auto"/>
          <w:sz w:val="32"/>
          <w:szCs w:val="32"/>
          <w:highlight w:val="none"/>
          <w:lang w:val="en-US" w:eastAsia="zh-CN"/>
        </w:rPr>
        <w:t>20</w:t>
      </w:r>
      <w:r>
        <w:rPr>
          <w:rFonts w:hint="eastAsia" w:ascii="仿宋" w:hAnsi="仿宋" w:eastAsia="仿宋" w:cs="宋体"/>
          <w:color w:val="auto"/>
          <w:sz w:val="32"/>
          <w:szCs w:val="32"/>
          <w:highlight w:val="none"/>
        </w:rPr>
        <w:t>日上午</w:t>
      </w:r>
      <w:r>
        <w:rPr>
          <w:rFonts w:ascii="仿宋" w:hAnsi="仿宋" w:eastAsia="仿宋" w:cs="宋体"/>
          <w:color w:val="auto"/>
          <w:sz w:val="32"/>
          <w:szCs w:val="32"/>
          <w:highlight w:val="none"/>
        </w:rPr>
        <w:t>9</w:t>
      </w:r>
      <w:r>
        <w:rPr>
          <w:rFonts w:hint="eastAsia" w:ascii="仿宋" w:hAnsi="仿宋" w:eastAsia="仿宋" w:cs="宋体"/>
          <w:color w:val="auto"/>
          <w:sz w:val="32"/>
          <w:szCs w:val="32"/>
          <w:highlight w:val="none"/>
        </w:rPr>
        <w:t>点至</w:t>
      </w:r>
      <w:r>
        <w:rPr>
          <w:rFonts w:hint="eastAsia" w:ascii="仿宋" w:hAnsi="仿宋" w:eastAsia="仿宋" w:cs="宋体"/>
          <w:color w:val="auto"/>
          <w:sz w:val="32"/>
          <w:szCs w:val="32"/>
          <w:highlight w:val="none"/>
          <w:lang w:val="en-US" w:eastAsia="zh-CN"/>
        </w:rPr>
        <w:t>26</w:t>
      </w:r>
      <w:r>
        <w:rPr>
          <w:rFonts w:hint="eastAsia" w:ascii="仿宋" w:hAnsi="仿宋" w:eastAsia="仿宋" w:cs="宋体"/>
          <w:color w:val="auto"/>
          <w:sz w:val="32"/>
          <w:szCs w:val="32"/>
          <w:highlight w:val="none"/>
        </w:rPr>
        <w:t>日下午17点。</w:t>
      </w:r>
    </w:p>
    <w:p w14:paraId="00784700">
      <w:pPr>
        <w:spacing w:line="500" w:lineRule="exact"/>
        <w:ind w:firstLine="640" w:firstLineChars="200"/>
        <w:rPr>
          <w:rFonts w:ascii="仿宋" w:hAnsi="仿宋" w:eastAsia="仿宋" w:cs="宋体"/>
          <w:bCs/>
          <w:color w:val="auto"/>
          <w:sz w:val="32"/>
          <w:szCs w:val="32"/>
          <w:highlight w:val="none"/>
        </w:rPr>
      </w:pPr>
      <w:r>
        <w:rPr>
          <w:rFonts w:hint="eastAsia" w:ascii="仿宋" w:hAnsi="仿宋" w:eastAsia="仿宋" w:cs="宋体"/>
          <w:color w:val="auto"/>
          <w:sz w:val="32"/>
          <w:szCs w:val="32"/>
          <w:highlight w:val="none"/>
        </w:rPr>
        <w:t>2、</w:t>
      </w:r>
      <w:r>
        <w:rPr>
          <w:rFonts w:hint="eastAsia" w:ascii="仿宋" w:hAnsi="仿宋" w:eastAsia="仿宋" w:cs="宋体"/>
          <w:bCs/>
          <w:color w:val="auto"/>
          <w:sz w:val="32"/>
          <w:szCs w:val="32"/>
          <w:highlight w:val="none"/>
        </w:rPr>
        <w:t>项目内容：</w:t>
      </w:r>
      <w:r>
        <w:rPr>
          <w:rFonts w:hint="eastAsia" w:ascii="仿宋" w:hAnsi="仿宋" w:eastAsia="仿宋" w:cs="仿宋"/>
          <w:color w:val="auto"/>
          <w:sz w:val="32"/>
          <w:szCs w:val="32"/>
          <w:highlight w:val="none"/>
        </w:rPr>
        <w:t>食堂食材供货及配送采购项目</w:t>
      </w:r>
    </w:p>
    <w:tbl>
      <w:tblPr>
        <w:tblStyle w:val="24"/>
        <w:tblW w:w="50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1973"/>
        <w:gridCol w:w="1145"/>
        <w:gridCol w:w="1612"/>
        <w:gridCol w:w="1114"/>
        <w:gridCol w:w="1351"/>
      </w:tblGrid>
      <w:tr w14:paraId="43FBB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1" w:hRule="atLeast"/>
          <w:jc w:val="center"/>
        </w:trPr>
        <w:tc>
          <w:tcPr>
            <w:tcW w:w="716" w:type="pct"/>
            <w:vAlign w:val="center"/>
          </w:tcPr>
          <w:p w14:paraId="2E598039">
            <w:pPr>
              <w:keepNext w:val="0"/>
              <w:keepLines w:val="0"/>
              <w:pageBreakBefore w:val="0"/>
              <w:wordWrap/>
              <w:overflowPunct/>
              <w:topLinePunct w:val="0"/>
              <w:bidi w:val="0"/>
              <w:spacing w:line="400" w:lineRule="exact"/>
              <w:ind w:left="0" w:right="0"/>
              <w:jc w:val="center"/>
              <w:rPr>
                <w:rFonts w:ascii="仿宋" w:hAnsi="仿宋" w:eastAsia="仿宋" w:cs="宋体"/>
                <w:color w:val="auto"/>
                <w:sz w:val="24"/>
                <w:szCs w:val="24"/>
                <w:highlight w:val="none"/>
              </w:rPr>
            </w:pPr>
            <w:r>
              <w:rPr>
                <w:rFonts w:hint="eastAsia" w:ascii="仿宋" w:hAnsi="仿宋" w:eastAsia="仿宋" w:cs="宋体"/>
                <w:color w:val="auto"/>
                <w:spacing w:val="-8"/>
                <w:sz w:val="24"/>
                <w:szCs w:val="24"/>
                <w:highlight w:val="none"/>
              </w:rPr>
              <w:t>品目名称</w:t>
            </w:r>
          </w:p>
        </w:tc>
        <w:tc>
          <w:tcPr>
            <w:tcW w:w="1174" w:type="pct"/>
            <w:vAlign w:val="center"/>
          </w:tcPr>
          <w:p w14:paraId="7BE2AA5B">
            <w:pPr>
              <w:keepNext w:val="0"/>
              <w:keepLines w:val="0"/>
              <w:pageBreakBefore w:val="0"/>
              <w:wordWrap/>
              <w:overflowPunct/>
              <w:topLinePunct w:val="0"/>
              <w:bidi w:val="0"/>
              <w:spacing w:line="400" w:lineRule="exact"/>
              <w:ind w:left="0" w:right="0"/>
              <w:jc w:val="center"/>
              <w:rPr>
                <w:rFonts w:ascii="仿宋" w:hAnsi="仿宋" w:eastAsia="仿宋" w:cs="宋体"/>
                <w:color w:val="auto"/>
                <w:sz w:val="24"/>
                <w:szCs w:val="24"/>
                <w:highlight w:val="none"/>
              </w:rPr>
            </w:pPr>
            <w:r>
              <w:rPr>
                <w:rFonts w:hint="eastAsia" w:ascii="仿宋" w:hAnsi="仿宋" w:eastAsia="仿宋" w:cs="宋体"/>
                <w:color w:val="auto"/>
                <w:spacing w:val="-4"/>
                <w:sz w:val="24"/>
                <w:szCs w:val="24"/>
                <w:highlight w:val="none"/>
              </w:rPr>
              <w:t>采购标的</w:t>
            </w:r>
          </w:p>
        </w:tc>
        <w:tc>
          <w:tcPr>
            <w:tcW w:w="681" w:type="pct"/>
            <w:vAlign w:val="center"/>
          </w:tcPr>
          <w:p w14:paraId="3BF6018D">
            <w:pPr>
              <w:keepNext w:val="0"/>
              <w:keepLines w:val="0"/>
              <w:pageBreakBefore w:val="0"/>
              <w:wordWrap/>
              <w:overflowPunct/>
              <w:topLinePunct w:val="0"/>
              <w:bidi w:val="0"/>
              <w:spacing w:line="400" w:lineRule="exact"/>
              <w:ind w:left="0" w:right="0"/>
              <w:jc w:val="center"/>
              <w:rPr>
                <w:rFonts w:ascii="仿宋" w:hAnsi="仿宋" w:eastAsia="仿宋" w:cs="宋体"/>
                <w:color w:val="auto"/>
                <w:spacing w:val="-6"/>
                <w:sz w:val="24"/>
                <w:szCs w:val="24"/>
                <w:highlight w:val="none"/>
              </w:rPr>
            </w:pPr>
            <w:r>
              <w:rPr>
                <w:rFonts w:hint="eastAsia" w:ascii="仿宋" w:hAnsi="仿宋" w:eastAsia="仿宋" w:cs="宋体"/>
                <w:color w:val="auto"/>
                <w:spacing w:val="-6"/>
                <w:sz w:val="24"/>
                <w:szCs w:val="24"/>
                <w:highlight w:val="none"/>
              </w:rPr>
              <w:t>数量</w:t>
            </w:r>
          </w:p>
        </w:tc>
        <w:tc>
          <w:tcPr>
            <w:tcW w:w="959" w:type="pct"/>
            <w:vAlign w:val="center"/>
          </w:tcPr>
          <w:p w14:paraId="0CB9D16A">
            <w:pPr>
              <w:keepNext w:val="0"/>
              <w:keepLines w:val="0"/>
              <w:pageBreakBefore w:val="0"/>
              <w:wordWrap/>
              <w:overflowPunct/>
              <w:topLinePunct w:val="0"/>
              <w:bidi w:val="0"/>
              <w:spacing w:line="400" w:lineRule="exact"/>
              <w:ind w:left="0" w:right="0" w:hanging="196"/>
              <w:jc w:val="center"/>
              <w:rPr>
                <w:rFonts w:ascii="仿宋" w:hAnsi="仿宋" w:eastAsia="仿宋" w:cs="宋体"/>
                <w:color w:val="auto"/>
                <w:spacing w:val="-5"/>
                <w:sz w:val="24"/>
                <w:szCs w:val="24"/>
                <w:highlight w:val="none"/>
              </w:rPr>
            </w:pPr>
            <w:r>
              <w:rPr>
                <w:rFonts w:hint="eastAsia" w:ascii="仿宋" w:hAnsi="仿宋" w:eastAsia="仿宋" w:cs="宋体"/>
                <w:color w:val="auto"/>
                <w:spacing w:val="-5"/>
                <w:sz w:val="24"/>
                <w:szCs w:val="24"/>
                <w:highlight w:val="none"/>
              </w:rPr>
              <w:t>技术规格、</w:t>
            </w:r>
          </w:p>
          <w:p w14:paraId="51F4C96B">
            <w:pPr>
              <w:keepNext w:val="0"/>
              <w:keepLines w:val="0"/>
              <w:pageBreakBefore w:val="0"/>
              <w:wordWrap/>
              <w:overflowPunct/>
              <w:topLinePunct w:val="0"/>
              <w:bidi w:val="0"/>
              <w:spacing w:line="400" w:lineRule="exact"/>
              <w:ind w:left="0" w:right="0" w:hanging="196"/>
              <w:jc w:val="center"/>
              <w:rPr>
                <w:rFonts w:ascii="仿宋" w:hAnsi="仿宋" w:eastAsia="仿宋" w:cs="宋体"/>
                <w:color w:val="auto"/>
                <w:sz w:val="24"/>
                <w:szCs w:val="24"/>
                <w:highlight w:val="none"/>
              </w:rPr>
            </w:pPr>
            <w:r>
              <w:rPr>
                <w:rFonts w:hint="eastAsia" w:ascii="仿宋" w:hAnsi="仿宋" w:eastAsia="仿宋" w:cs="宋体"/>
                <w:color w:val="auto"/>
                <w:spacing w:val="-5"/>
                <w:sz w:val="24"/>
                <w:szCs w:val="24"/>
                <w:highlight w:val="none"/>
              </w:rPr>
              <w:t>参</w:t>
            </w:r>
            <w:r>
              <w:rPr>
                <w:rFonts w:hint="eastAsia" w:ascii="仿宋" w:hAnsi="仿宋" w:eastAsia="仿宋" w:cs="宋体"/>
                <w:color w:val="auto"/>
                <w:spacing w:val="-4"/>
                <w:sz w:val="24"/>
                <w:szCs w:val="24"/>
                <w:highlight w:val="none"/>
              </w:rPr>
              <w:t>数及要求</w:t>
            </w:r>
          </w:p>
        </w:tc>
        <w:tc>
          <w:tcPr>
            <w:tcW w:w="663" w:type="pct"/>
            <w:vAlign w:val="center"/>
          </w:tcPr>
          <w:p w14:paraId="46FA5A6D">
            <w:pPr>
              <w:keepNext w:val="0"/>
              <w:keepLines w:val="0"/>
              <w:pageBreakBefore w:val="0"/>
              <w:wordWrap/>
              <w:overflowPunct/>
              <w:topLinePunct w:val="0"/>
              <w:bidi w:val="0"/>
              <w:spacing w:line="400" w:lineRule="exact"/>
              <w:ind w:left="0" w:right="0"/>
              <w:jc w:val="center"/>
              <w:rPr>
                <w:rFonts w:ascii="仿宋" w:hAnsi="仿宋" w:eastAsia="仿宋" w:cs="宋体"/>
                <w:color w:val="auto"/>
                <w:sz w:val="24"/>
                <w:szCs w:val="24"/>
                <w:highlight w:val="none"/>
              </w:rPr>
            </w:pPr>
            <w:r>
              <w:rPr>
                <w:rFonts w:hint="eastAsia" w:ascii="仿宋" w:hAnsi="仿宋" w:eastAsia="仿宋" w:cs="宋体"/>
                <w:color w:val="auto"/>
                <w:spacing w:val="-8"/>
                <w:sz w:val="24"/>
                <w:szCs w:val="24"/>
                <w:highlight w:val="none"/>
              </w:rPr>
              <w:t>品目预算</w:t>
            </w:r>
          </w:p>
          <w:p w14:paraId="0962398F">
            <w:pPr>
              <w:keepNext w:val="0"/>
              <w:keepLines w:val="0"/>
              <w:pageBreakBefore w:val="0"/>
              <w:wordWrap/>
              <w:overflowPunct/>
              <w:topLinePunct w:val="0"/>
              <w:bidi w:val="0"/>
              <w:spacing w:line="400" w:lineRule="exact"/>
              <w:ind w:left="0" w:right="0"/>
              <w:jc w:val="center"/>
              <w:rPr>
                <w:rFonts w:ascii="仿宋" w:hAnsi="仿宋" w:eastAsia="仿宋" w:cs="宋体"/>
                <w:color w:val="auto"/>
                <w:sz w:val="24"/>
                <w:szCs w:val="24"/>
                <w:highlight w:val="none"/>
              </w:rPr>
            </w:pPr>
            <w:r>
              <w:rPr>
                <w:rFonts w:hint="eastAsia" w:ascii="仿宋" w:hAnsi="仿宋" w:eastAsia="仿宋" w:cs="宋体"/>
                <w:color w:val="auto"/>
                <w:spacing w:val="-13"/>
                <w:sz w:val="24"/>
                <w:szCs w:val="24"/>
                <w:highlight w:val="none"/>
              </w:rPr>
              <w:t>(万元)</w:t>
            </w:r>
          </w:p>
        </w:tc>
        <w:tc>
          <w:tcPr>
            <w:tcW w:w="804" w:type="pct"/>
            <w:vAlign w:val="center"/>
          </w:tcPr>
          <w:p w14:paraId="36435AFC">
            <w:pPr>
              <w:keepNext w:val="0"/>
              <w:keepLines w:val="0"/>
              <w:pageBreakBefore w:val="0"/>
              <w:wordWrap/>
              <w:overflowPunct/>
              <w:topLinePunct w:val="0"/>
              <w:bidi w:val="0"/>
              <w:spacing w:line="400" w:lineRule="exact"/>
              <w:ind w:left="0" w:right="0"/>
              <w:jc w:val="center"/>
              <w:rPr>
                <w:rFonts w:ascii="仿宋" w:hAnsi="仿宋" w:eastAsia="仿宋" w:cs="宋体"/>
                <w:color w:val="auto"/>
                <w:sz w:val="24"/>
                <w:szCs w:val="24"/>
                <w:highlight w:val="none"/>
              </w:rPr>
            </w:pPr>
            <w:r>
              <w:rPr>
                <w:rFonts w:hint="eastAsia" w:ascii="仿宋" w:hAnsi="仿宋" w:eastAsia="仿宋" w:cs="宋体"/>
                <w:color w:val="auto"/>
                <w:spacing w:val="-5"/>
                <w:sz w:val="24"/>
                <w:szCs w:val="24"/>
                <w:highlight w:val="none"/>
              </w:rPr>
              <w:t>备注</w:t>
            </w:r>
          </w:p>
        </w:tc>
      </w:tr>
      <w:tr w14:paraId="627AF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4" w:hRule="atLeast"/>
          <w:jc w:val="center"/>
        </w:trPr>
        <w:tc>
          <w:tcPr>
            <w:tcW w:w="716" w:type="pct"/>
            <w:vAlign w:val="center"/>
          </w:tcPr>
          <w:p w14:paraId="612BE008">
            <w:pPr>
              <w:pStyle w:val="25"/>
              <w:keepNext w:val="0"/>
              <w:keepLines w:val="0"/>
              <w:pageBreakBefore w:val="0"/>
              <w:wordWrap/>
              <w:overflowPunct/>
              <w:topLinePunct w:val="0"/>
              <w:bidi w:val="0"/>
              <w:spacing w:line="400" w:lineRule="exact"/>
              <w:ind w:left="0" w:right="0"/>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蔬菜等其他食材</w:t>
            </w:r>
          </w:p>
        </w:tc>
        <w:tc>
          <w:tcPr>
            <w:tcW w:w="1174" w:type="pct"/>
            <w:vAlign w:val="center"/>
          </w:tcPr>
          <w:p w14:paraId="6F107ADD">
            <w:pPr>
              <w:pStyle w:val="25"/>
              <w:keepNext w:val="0"/>
              <w:keepLines w:val="0"/>
              <w:pageBreakBefore w:val="0"/>
              <w:wordWrap/>
              <w:overflowPunct/>
              <w:topLinePunct w:val="0"/>
              <w:bidi w:val="0"/>
              <w:spacing w:line="400" w:lineRule="exact"/>
              <w:ind w:left="0" w:right="0" w:firstLine="2"/>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蔬菜、畜禽肉、禽蛋、水产、干货调料、酱菜类、豆制品及主食类等主副食品货</w:t>
            </w:r>
          </w:p>
        </w:tc>
        <w:tc>
          <w:tcPr>
            <w:tcW w:w="681" w:type="pct"/>
            <w:vAlign w:val="center"/>
          </w:tcPr>
          <w:p w14:paraId="2F66B57D">
            <w:pPr>
              <w:pStyle w:val="25"/>
              <w:keepNext w:val="0"/>
              <w:keepLines w:val="0"/>
              <w:pageBreakBefore w:val="0"/>
              <w:wordWrap/>
              <w:overflowPunct/>
              <w:topLinePunct w:val="0"/>
              <w:bidi w:val="0"/>
              <w:spacing w:line="400" w:lineRule="exact"/>
              <w:ind w:left="0" w:right="0"/>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1(批)</w:t>
            </w:r>
          </w:p>
        </w:tc>
        <w:tc>
          <w:tcPr>
            <w:tcW w:w="959" w:type="pct"/>
            <w:vAlign w:val="center"/>
          </w:tcPr>
          <w:p w14:paraId="14EDB0D0">
            <w:pPr>
              <w:pStyle w:val="25"/>
              <w:keepNext w:val="0"/>
              <w:keepLines w:val="0"/>
              <w:pageBreakBefore w:val="0"/>
              <w:wordWrap/>
              <w:overflowPunct/>
              <w:topLinePunct w:val="0"/>
              <w:bidi w:val="0"/>
              <w:spacing w:line="400" w:lineRule="exact"/>
              <w:ind w:left="0" w:right="0"/>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详见附件3《食材配送清单》</w:t>
            </w:r>
          </w:p>
        </w:tc>
        <w:tc>
          <w:tcPr>
            <w:tcW w:w="663" w:type="pct"/>
            <w:vAlign w:val="center"/>
          </w:tcPr>
          <w:p w14:paraId="199D8A40">
            <w:pPr>
              <w:keepNext w:val="0"/>
              <w:keepLines w:val="0"/>
              <w:pageBreakBefore w:val="0"/>
              <w:wordWrap/>
              <w:overflowPunct/>
              <w:topLinePunct w:val="0"/>
              <w:bidi w:val="0"/>
              <w:spacing w:line="400" w:lineRule="exact"/>
              <w:ind w:left="0" w:right="0"/>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115</w:t>
            </w:r>
          </w:p>
        </w:tc>
        <w:tc>
          <w:tcPr>
            <w:tcW w:w="804" w:type="pct"/>
            <w:vAlign w:val="center"/>
          </w:tcPr>
          <w:p w14:paraId="56E1149F">
            <w:pPr>
              <w:pStyle w:val="25"/>
              <w:keepNext w:val="0"/>
              <w:keepLines w:val="0"/>
              <w:pageBreakBefore w:val="0"/>
              <w:wordWrap/>
              <w:overflowPunct/>
              <w:topLinePunct w:val="0"/>
              <w:bidi w:val="0"/>
              <w:spacing w:line="400" w:lineRule="exact"/>
              <w:ind w:left="0" w:right="0"/>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调料含</w:t>
            </w:r>
          </w:p>
          <w:p w14:paraId="613470C3">
            <w:pPr>
              <w:pStyle w:val="25"/>
              <w:keepNext w:val="0"/>
              <w:keepLines w:val="0"/>
              <w:pageBreakBefore w:val="0"/>
              <w:wordWrap/>
              <w:overflowPunct/>
              <w:topLinePunct w:val="0"/>
              <w:bidi w:val="0"/>
              <w:spacing w:line="400" w:lineRule="exact"/>
              <w:ind w:left="0" w:right="0"/>
              <w:jc w:val="center"/>
              <w:rPr>
                <w:rFonts w:hint="eastAsia" w:ascii="仿宋" w:hAnsi="仿宋" w:eastAsia="仿宋" w:cs="宋体"/>
                <w:snapToGrid/>
                <w:color w:val="auto"/>
                <w:spacing w:val="-8"/>
                <w:kern w:val="2"/>
                <w:sz w:val="24"/>
                <w:szCs w:val="24"/>
                <w:highlight w:val="none"/>
                <w:lang w:val="en-US" w:eastAsia="zh-CN" w:bidi="ar-SA"/>
              </w:rPr>
            </w:pPr>
            <w:r>
              <w:rPr>
                <w:rFonts w:hint="eastAsia" w:ascii="仿宋" w:hAnsi="仿宋" w:eastAsia="仿宋" w:cs="宋体"/>
                <w:snapToGrid/>
                <w:color w:val="auto"/>
                <w:spacing w:val="-8"/>
                <w:kern w:val="2"/>
                <w:sz w:val="24"/>
                <w:szCs w:val="24"/>
                <w:highlight w:val="none"/>
                <w:lang w:val="en-US" w:eastAsia="zh-CN" w:bidi="ar-SA"/>
              </w:rPr>
              <w:t>13%税率，其他食材不含税</w:t>
            </w:r>
          </w:p>
        </w:tc>
      </w:tr>
    </w:tbl>
    <w:p w14:paraId="23AC7C1F">
      <w:pPr>
        <w:spacing w:line="500" w:lineRule="exact"/>
        <w:ind w:firstLine="640" w:firstLineChars="200"/>
        <w:rPr>
          <w:rFonts w:ascii="仿宋" w:hAnsi="仿宋" w:eastAsia="仿宋" w:cs="宋体"/>
          <w:bCs/>
          <w:color w:val="auto"/>
          <w:sz w:val="32"/>
          <w:szCs w:val="32"/>
          <w:highlight w:val="none"/>
        </w:rPr>
      </w:pPr>
      <w:r>
        <w:rPr>
          <w:rFonts w:hint="eastAsia" w:ascii="仿宋" w:hAnsi="仿宋" w:eastAsia="仿宋" w:cs="宋体"/>
          <w:bCs/>
          <w:color w:val="auto"/>
          <w:sz w:val="32"/>
          <w:szCs w:val="32"/>
          <w:highlight w:val="none"/>
        </w:rPr>
        <w:t>3、项目期限：1年（2026年</w:t>
      </w:r>
      <w:r>
        <w:rPr>
          <w:rFonts w:hint="eastAsia" w:ascii="仿宋" w:hAnsi="仿宋" w:eastAsia="仿宋" w:cs="宋体"/>
          <w:bCs/>
          <w:color w:val="auto"/>
          <w:sz w:val="32"/>
          <w:szCs w:val="32"/>
          <w:highlight w:val="none"/>
          <w:lang w:val="en-US" w:eastAsia="zh-CN"/>
        </w:rPr>
        <w:t>4月1日至2027年3月31日</w:t>
      </w:r>
      <w:r>
        <w:rPr>
          <w:rFonts w:hint="eastAsia" w:ascii="仿宋" w:hAnsi="仿宋" w:eastAsia="仿宋" w:cs="宋体"/>
          <w:bCs/>
          <w:color w:val="auto"/>
          <w:sz w:val="32"/>
          <w:szCs w:val="32"/>
          <w:highlight w:val="none"/>
        </w:rPr>
        <w:t>，如合同期限内配合度良好，无任何违约情况，则顺延一年）。</w:t>
      </w:r>
    </w:p>
    <w:p w14:paraId="4176CE18">
      <w:pPr>
        <w:spacing w:line="500" w:lineRule="exact"/>
        <w:ind w:firstLine="640" w:firstLineChars="200"/>
        <w:rPr>
          <w:rFonts w:ascii="仿宋" w:hAnsi="仿宋" w:eastAsia="仿宋" w:cs="宋体"/>
          <w:bCs/>
          <w:color w:val="auto"/>
          <w:sz w:val="32"/>
          <w:szCs w:val="32"/>
          <w:highlight w:val="none"/>
        </w:rPr>
      </w:pPr>
      <w:r>
        <w:rPr>
          <w:rFonts w:hint="eastAsia" w:ascii="仿宋" w:hAnsi="仿宋" w:eastAsia="仿宋" w:cs="宋体"/>
          <w:bCs/>
          <w:color w:val="auto"/>
          <w:sz w:val="32"/>
          <w:szCs w:val="32"/>
          <w:highlight w:val="none"/>
        </w:rPr>
        <w:t>4. 其他说明</w:t>
      </w:r>
    </w:p>
    <w:p w14:paraId="55459CE6">
      <w:pPr>
        <w:spacing w:line="500" w:lineRule="exact"/>
        <w:ind w:firstLine="640" w:firstLineChars="200"/>
        <w:rPr>
          <w:rFonts w:ascii="仿宋" w:hAnsi="仿宋" w:eastAsia="仿宋" w:cs="宋体"/>
          <w:bCs/>
          <w:color w:val="auto"/>
          <w:sz w:val="32"/>
          <w:szCs w:val="32"/>
          <w:highlight w:val="none"/>
        </w:rPr>
      </w:pPr>
      <w:r>
        <w:rPr>
          <w:rFonts w:hint="eastAsia" w:ascii="仿宋" w:hAnsi="仿宋" w:eastAsia="仿宋" w:cs="宋体"/>
          <w:bCs/>
          <w:color w:val="auto"/>
          <w:sz w:val="32"/>
          <w:szCs w:val="32"/>
          <w:highlight w:val="none"/>
        </w:rPr>
        <w:t>4.1本项目食材价格数据采用结算时以“农贸市场”及“超市”两项数据的各项商品平均价格作为依据，若“农贸市场”及“超市”两项数据价格是同一天发布的，则按两份数据的平均价进行计取。本项目最终结算价格为食材价格数据乘以投标固定优惠折扣率，且最终结算价格不得高于市场零售价。</w:t>
      </w:r>
    </w:p>
    <w:p w14:paraId="114BB9D8">
      <w:pPr>
        <w:spacing w:line="500" w:lineRule="exact"/>
        <w:ind w:firstLine="640" w:firstLineChars="200"/>
        <w:rPr>
          <w:rFonts w:ascii="仿宋" w:hAnsi="仿宋" w:eastAsia="仿宋" w:cs="宋体"/>
          <w:bCs/>
          <w:color w:val="auto"/>
          <w:sz w:val="32"/>
          <w:szCs w:val="32"/>
          <w:highlight w:val="none"/>
        </w:rPr>
      </w:pPr>
      <w:r>
        <w:rPr>
          <w:rFonts w:hint="eastAsia" w:ascii="仿宋" w:hAnsi="仿宋" w:eastAsia="仿宋" w:cs="宋体"/>
          <w:bCs/>
          <w:color w:val="auto"/>
          <w:sz w:val="32"/>
          <w:szCs w:val="32"/>
          <w:highlight w:val="none"/>
        </w:rPr>
        <w:t>4.2相关食材以“农贸市场”及“超市”两项数据中的各项商品平均价格作为依据，食材价格由招标人食堂管理委员会与中标人组成市场询价小组，定期（按每半个月一次的频率）进行询价，询价共同签字确认后作为结算依据。食材价格来源如下：六家超市（大润发、乐海、新华都、麦德龙、世纪联华、永辉） 中三家或三家以上平均价；菜场（灌口菜市场、闽南蔬菜批发市场、同安城西菜市场、白泉菜市场）中两家或两家以上平均价。最终结算价格按上述两者的平均价乘以投标固定优惠折扣率为准，且最终结算价格不得高于市场零售价。</w:t>
      </w:r>
    </w:p>
    <w:p w14:paraId="6CC861BF">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四、投标报价</w:t>
      </w:r>
    </w:p>
    <w:p w14:paraId="65464806">
      <w:pPr>
        <w:spacing w:line="500" w:lineRule="exact"/>
        <w:ind w:firstLine="640" w:firstLineChars="200"/>
        <w:rPr>
          <w:rFonts w:ascii="仿宋" w:hAnsi="仿宋" w:eastAsia="仿宋"/>
          <w:color w:val="auto"/>
          <w:sz w:val="32"/>
          <w:szCs w:val="32"/>
          <w:highlight w:val="none"/>
        </w:rPr>
      </w:pPr>
      <w:r>
        <w:rPr>
          <w:rFonts w:hint="eastAsia" w:ascii="仿宋" w:hAnsi="仿宋" w:eastAsia="仿宋" w:cs="宋体"/>
          <w:color w:val="auto"/>
          <w:sz w:val="32"/>
          <w:szCs w:val="32"/>
          <w:highlight w:val="none"/>
        </w:rPr>
        <w:t>1、投标人按市场行情如实填写报价，不得有串通报价，欺诈及恶意报价等行为，违规者取消此次投标资格。且</w:t>
      </w:r>
      <w:r>
        <w:rPr>
          <w:rFonts w:ascii="仿宋" w:hAnsi="仿宋" w:eastAsia="仿宋" w:cs="宋体"/>
          <w:color w:val="auto"/>
          <w:sz w:val="32"/>
          <w:szCs w:val="32"/>
          <w:highlight w:val="none"/>
        </w:rPr>
        <w:t>5</w:t>
      </w:r>
      <w:r>
        <w:rPr>
          <w:rFonts w:hint="eastAsia" w:ascii="仿宋" w:hAnsi="仿宋" w:eastAsia="仿宋" w:cs="宋体"/>
          <w:color w:val="auto"/>
          <w:sz w:val="32"/>
          <w:szCs w:val="32"/>
          <w:highlight w:val="none"/>
        </w:rPr>
        <w:t>年内不得参与本公司</w:t>
      </w:r>
      <w:r>
        <w:rPr>
          <w:rFonts w:hint="eastAsia" w:ascii="仿宋" w:hAnsi="仿宋" w:eastAsia="仿宋" w:cs="宋体"/>
          <w:color w:val="auto"/>
          <w:kern w:val="0"/>
          <w:sz w:val="32"/>
          <w:szCs w:val="32"/>
          <w:highlight w:val="none"/>
        </w:rPr>
        <w:t>招标</w:t>
      </w:r>
      <w:r>
        <w:rPr>
          <w:rFonts w:hint="eastAsia" w:ascii="仿宋" w:hAnsi="仿宋" w:eastAsia="仿宋" w:cs="宋体"/>
          <w:color w:val="auto"/>
          <w:sz w:val="32"/>
          <w:szCs w:val="32"/>
          <w:highlight w:val="none"/>
        </w:rPr>
        <w:t>竞标。</w:t>
      </w:r>
    </w:p>
    <w:p w14:paraId="60621F18">
      <w:pPr>
        <w:spacing w:line="500" w:lineRule="exact"/>
        <w:ind w:firstLine="640" w:firstLineChars="2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2、投标人按其实际所能提供的</w:t>
      </w:r>
      <w:r>
        <w:rPr>
          <w:rFonts w:hint="eastAsia" w:ascii="仿宋" w:hAnsi="仿宋" w:eastAsia="仿宋" w:cs="宋体"/>
          <w:color w:val="auto"/>
          <w:spacing w:val="-3"/>
          <w:sz w:val="32"/>
          <w:szCs w:val="32"/>
          <w:highlight w:val="none"/>
        </w:rPr>
        <w:t>优惠折扣率</w:t>
      </w:r>
      <w:r>
        <w:rPr>
          <w:rFonts w:hint="eastAsia" w:ascii="仿宋" w:hAnsi="仿宋" w:eastAsia="仿宋" w:cs="宋体"/>
          <w:color w:val="auto"/>
          <w:sz w:val="32"/>
          <w:szCs w:val="32"/>
          <w:highlight w:val="none"/>
        </w:rPr>
        <w:t>进行报价。</w:t>
      </w:r>
    </w:p>
    <w:p w14:paraId="74602443">
      <w:pPr>
        <w:spacing w:line="500" w:lineRule="exact"/>
        <w:ind w:firstLine="640" w:firstLineChars="200"/>
        <w:rPr>
          <w:rFonts w:ascii="仿宋" w:hAnsi="仿宋" w:eastAsia="仿宋"/>
          <w:color w:val="auto"/>
          <w:sz w:val="28"/>
          <w:szCs w:val="28"/>
          <w:highlight w:val="none"/>
        </w:rPr>
      </w:pPr>
      <w:r>
        <w:rPr>
          <w:rFonts w:hint="eastAsia" w:ascii="仿宋" w:hAnsi="仿宋" w:eastAsia="仿宋" w:cs="宋体"/>
          <w:color w:val="auto"/>
          <w:sz w:val="32"/>
          <w:szCs w:val="32"/>
          <w:highlight w:val="none"/>
        </w:rPr>
        <w:t>3、报价方式：按招标人提供的报价单格式填报，按折扣报价，盖章密封后送至或快递至厦门三圈电池有限公司办公室</w:t>
      </w:r>
      <w:r>
        <w:rPr>
          <w:rFonts w:hint="eastAsia" w:ascii="仿宋" w:hAnsi="仿宋" w:eastAsia="仿宋"/>
          <w:color w:val="auto"/>
          <w:sz w:val="32"/>
          <w:szCs w:val="32"/>
          <w:highlight w:val="none"/>
        </w:rPr>
        <w:t>严女士，联系电话：</w:t>
      </w:r>
      <w:r>
        <w:rPr>
          <w:rFonts w:ascii="仿宋" w:hAnsi="仿宋" w:eastAsia="仿宋"/>
          <w:color w:val="auto"/>
          <w:sz w:val="32"/>
          <w:szCs w:val="32"/>
          <w:highlight w:val="none"/>
        </w:rPr>
        <w:t>15205962511</w:t>
      </w:r>
      <w:r>
        <w:rPr>
          <w:rFonts w:hint="eastAsia" w:ascii="仿宋" w:hAnsi="仿宋" w:eastAsia="仿宋"/>
          <w:color w:val="auto"/>
          <w:sz w:val="32"/>
          <w:szCs w:val="32"/>
          <w:highlight w:val="none"/>
        </w:rPr>
        <w:t>。</w:t>
      </w:r>
    </w:p>
    <w:p w14:paraId="44FFDB52">
      <w:pPr>
        <w:spacing w:line="500" w:lineRule="exact"/>
        <w:ind w:firstLine="640" w:firstLineChars="200"/>
        <w:rPr>
          <w:rFonts w:ascii="仿宋" w:hAnsi="仿宋" w:eastAsia="仿宋"/>
          <w:color w:val="auto"/>
          <w:sz w:val="32"/>
          <w:szCs w:val="32"/>
          <w:highlight w:val="none"/>
        </w:rPr>
      </w:pPr>
      <w:r>
        <w:rPr>
          <w:rFonts w:hint="eastAsia" w:ascii="仿宋" w:hAnsi="仿宋" w:eastAsia="仿宋" w:cs="宋体"/>
          <w:color w:val="auto"/>
          <w:sz w:val="32"/>
          <w:szCs w:val="32"/>
          <w:highlight w:val="none"/>
        </w:rPr>
        <w:t>4、接收投标书截止时间：</w:t>
      </w:r>
      <w:r>
        <w:rPr>
          <w:rFonts w:ascii="仿宋" w:hAnsi="仿宋" w:eastAsia="仿宋" w:cs="宋体"/>
          <w:color w:val="auto"/>
          <w:sz w:val="32"/>
          <w:szCs w:val="32"/>
          <w:highlight w:val="none"/>
        </w:rPr>
        <w:t>202</w:t>
      </w:r>
      <w:r>
        <w:rPr>
          <w:rFonts w:hint="eastAsia" w:ascii="仿宋" w:hAnsi="仿宋" w:eastAsia="仿宋" w:cs="宋体"/>
          <w:color w:val="auto"/>
          <w:sz w:val="32"/>
          <w:szCs w:val="32"/>
          <w:highlight w:val="none"/>
        </w:rPr>
        <w:t>6年</w:t>
      </w:r>
      <w:r>
        <w:rPr>
          <w:rFonts w:hint="eastAsia" w:ascii="仿宋" w:hAnsi="仿宋" w:eastAsia="仿宋" w:cs="宋体"/>
          <w:color w:val="auto"/>
          <w:sz w:val="32"/>
          <w:szCs w:val="32"/>
          <w:highlight w:val="none"/>
          <w:u w:val="single"/>
        </w:rPr>
        <w:t>03</w:t>
      </w:r>
      <w:r>
        <w:rPr>
          <w:rFonts w:hint="eastAsia" w:ascii="仿宋" w:hAnsi="仿宋" w:eastAsia="仿宋" w:cs="宋体"/>
          <w:color w:val="auto"/>
          <w:sz w:val="32"/>
          <w:szCs w:val="32"/>
          <w:highlight w:val="none"/>
        </w:rPr>
        <w:t>月</w:t>
      </w:r>
      <w:r>
        <w:rPr>
          <w:rFonts w:hint="eastAsia" w:ascii="仿宋" w:hAnsi="仿宋" w:eastAsia="仿宋" w:cs="宋体"/>
          <w:color w:val="auto"/>
          <w:sz w:val="32"/>
          <w:szCs w:val="32"/>
          <w:highlight w:val="none"/>
          <w:u w:val="single"/>
        </w:rPr>
        <w:t>2</w:t>
      </w:r>
      <w:r>
        <w:rPr>
          <w:rFonts w:hint="eastAsia" w:ascii="仿宋" w:hAnsi="仿宋" w:eastAsia="仿宋" w:cs="宋体"/>
          <w:color w:val="auto"/>
          <w:sz w:val="32"/>
          <w:szCs w:val="32"/>
          <w:highlight w:val="none"/>
          <w:u w:val="single"/>
          <w:lang w:val="en-US" w:eastAsia="zh-CN"/>
        </w:rPr>
        <w:t>6</w:t>
      </w:r>
      <w:r>
        <w:rPr>
          <w:rFonts w:hint="eastAsia" w:ascii="仿宋" w:hAnsi="仿宋" w:eastAsia="仿宋" w:cs="宋体"/>
          <w:color w:val="auto"/>
          <w:sz w:val="32"/>
          <w:szCs w:val="32"/>
          <w:highlight w:val="none"/>
        </w:rPr>
        <w:t>日下午</w:t>
      </w:r>
      <w:r>
        <w:rPr>
          <w:rFonts w:ascii="仿宋" w:hAnsi="仿宋" w:eastAsia="仿宋" w:cs="宋体"/>
          <w:color w:val="auto"/>
          <w:sz w:val="32"/>
          <w:szCs w:val="32"/>
          <w:highlight w:val="none"/>
        </w:rPr>
        <w:t>1</w:t>
      </w:r>
      <w:r>
        <w:rPr>
          <w:rFonts w:hint="eastAsia" w:ascii="仿宋" w:hAnsi="仿宋" w:eastAsia="仿宋" w:cs="宋体"/>
          <w:color w:val="auto"/>
          <w:sz w:val="32"/>
          <w:szCs w:val="32"/>
          <w:highlight w:val="none"/>
        </w:rPr>
        <w:t>7：</w:t>
      </w:r>
      <w:r>
        <w:rPr>
          <w:rFonts w:ascii="仿宋" w:hAnsi="仿宋" w:eastAsia="仿宋" w:cs="宋体"/>
          <w:color w:val="auto"/>
          <w:sz w:val="32"/>
          <w:szCs w:val="32"/>
          <w:highlight w:val="none"/>
        </w:rPr>
        <w:t>00</w:t>
      </w:r>
      <w:r>
        <w:rPr>
          <w:rFonts w:hint="eastAsia" w:ascii="仿宋" w:hAnsi="仿宋" w:eastAsia="仿宋" w:cs="宋体"/>
          <w:color w:val="auto"/>
          <w:sz w:val="32"/>
          <w:szCs w:val="32"/>
          <w:highlight w:val="none"/>
        </w:rPr>
        <w:t>，过期视为自动放弃报价。</w:t>
      </w:r>
    </w:p>
    <w:p w14:paraId="309FC779">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五、投标人递交的资料应包括：（均需加盖公章，纸质版投标文件一式两份，电子版扫描件拷入U盘一并递交）</w:t>
      </w:r>
    </w:p>
    <w:p w14:paraId="155AC137">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1、投标报价单（附件1）；</w:t>
      </w:r>
    </w:p>
    <w:p w14:paraId="79F8CF71">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2、投标人工商营业执照复印件；</w:t>
      </w:r>
    </w:p>
    <w:p w14:paraId="4A966557">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3、法定代表人及授权代理人身份证复印件、授权委托书原件；</w:t>
      </w:r>
    </w:p>
    <w:p w14:paraId="5B465607">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4、投标承诺书（附件2）；</w:t>
      </w:r>
    </w:p>
    <w:p w14:paraId="107DCAEC">
      <w:pPr>
        <w:spacing w:line="500" w:lineRule="exact"/>
        <w:ind w:firstLine="640" w:firstLineChars="200"/>
        <w:rPr>
          <w:rFonts w:hint="eastAsia" w:ascii="仿宋" w:hAnsi="仿宋" w:eastAsia="仿宋" w:cs="仿宋_GB2312"/>
          <w:color w:val="auto"/>
          <w:sz w:val="32"/>
          <w:szCs w:val="32"/>
          <w:highlight w:val="none"/>
          <w:lang w:eastAsia="zh-CN"/>
        </w:rPr>
      </w:pPr>
      <w:r>
        <w:rPr>
          <w:rFonts w:hint="eastAsia" w:ascii="仿宋" w:hAnsi="仿宋" w:eastAsia="仿宋"/>
          <w:color w:val="auto"/>
          <w:sz w:val="32"/>
          <w:szCs w:val="32"/>
          <w:highlight w:val="none"/>
        </w:rPr>
        <w:t>5、</w:t>
      </w:r>
      <w:r>
        <w:rPr>
          <w:rFonts w:hint="eastAsia" w:ascii="仿宋" w:hAnsi="仿宋" w:eastAsia="仿宋"/>
          <w:color w:val="auto"/>
          <w:sz w:val="32"/>
          <w:szCs w:val="32"/>
          <w:highlight w:val="none"/>
          <w:lang w:val="en-US" w:eastAsia="zh-CN"/>
        </w:rPr>
        <w:t>有效的</w:t>
      </w:r>
      <w:r>
        <w:rPr>
          <w:rFonts w:hint="eastAsia" w:ascii="仿宋" w:hAnsi="仿宋" w:eastAsia="仿宋" w:cs="仿宋_GB2312"/>
          <w:color w:val="auto"/>
          <w:sz w:val="32"/>
          <w:szCs w:val="32"/>
          <w:highlight w:val="none"/>
        </w:rPr>
        <w:t>食品经营许可证、蔬菜上市凭证</w:t>
      </w:r>
      <w:r>
        <w:rPr>
          <w:rFonts w:hint="eastAsia" w:ascii="仿宋" w:hAnsi="仿宋" w:eastAsia="仿宋" w:cs="仿宋_GB2312"/>
          <w:color w:val="auto"/>
          <w:sz w:val="32"/>
          <w:szCs w:val="32"/>
          <w:highlight w:val="none"/>
          <w:lang w:eastAsia="zh-CN"/>
        </w:rPr>
        <w:t>；</w:t>
      </w:r>
    </w:p>
    <w:p w14:paraId="5E9A8F55">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rPr>
        <w:t>投标保证金缴交凭证；</w:t>
      </w:r>
    </w:p>
    <w:p w14:paraId="637FB7C8">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rPr>
        <w:t>、其他投标证明文件。</w:t>
      </w:r>
    </w:p>
    <w:p w14:paraId="161B1146">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六、开标时间及地点</w:t>
      </w:r>
    </w:p>
    <w:p w14:paraId="3754D3F8">
      <w:pPr>
        <w:spacing w:line="500" w:lineRule="exact"/>
        <w:ind w:firstLine="640" w:firstLineChars="200"/>
        <w:rPr>
          <w:rFonts w:ascii="仿宋" w:hAnsi="仿宋" w:eastAsia="仿宋"/>
          <w:color w:val="auto"/>
          <w:sz w:val="32"/>
          <w:szCs w:val="32"/>
          <w:highlight w:val="none"/>
        </w:rPr>
      </w:pPr>
      <w:r>
        <w:rPr>
          <w:rFonts w:ascii="仿宋" w:hAnsi="仿宋" w:eastAsia="仿宋" w:cs="宋体"/>
          <w:color w:val="auto"/>
          <w:sz w:val="32"/>
          <w:szCs w:val="32"/>
          <w:highlight w:val="none"/>
        </w:rPr>
        <w:t>1</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开标时间：预计于</w:t>
      </w:r>
      <w:r>
        <w:rPr>
          <w:rFonts w:ascii="仿宋" w:hAnsi="仿宋" w:eastAsia="仿宋" w:cs="宋体"/>
          <w:color w:val="auto"/>
          <w:sz w:val="32"/>
          <w:szCs w:val="32"/>
          <w:highlight w:val="none"/>
        </w:rPr>
        <w:t>202</w:t>
      </w:r>
      <w:r>
        <w:rPr>
          <w:rFonts w:hint="eastAsia" w:ascii="仿宋" w:hAnsi="仿宋" w:eastAsia="仿宋" w:cs="宋体"/>
          <w:color w:val="auto"/>
          <w:sz w:val="32"/>
          <w:szCs w:val="32"/>
          <w:highlight w:val="none"/>
        </w:rPr>
        <w:t>6年</w:t>
      </w:r>
      <w:r>
        <w:rPr>
          <w:rFonts w:hint="eastAsia" w:ascii="仿宋" w:hAnsi="仿宋" w:eastAsia="仿宋" w:cs="宋体"/>
          <w:color w:val="auto"/>
          <w:sz w:val="32"/>
          <w:szCs w:val="32"/>
          <w:highlight w:val="none"/>
          <w:u w:val="single"/>
        </w:rPr>
        <w:t>3</w:t>
      </w:r>
      <w:r>
        <w:rPr>
          <w:rFonts w:hint="eastAsia" w:ascii="仿宋" w:hAnsi="仿宋" w:eastAsia="仿宋" w:cs="宋体"/>
          <w:color w:val="auto"/>
          <w:sz w:val="32"/>
          <w:szCs w:val="32"/>
          <w:highlight w:val="none"/>
        </w:rPr>
        <w:t>月</w:t>
      </w:r>
      <w:r>
        <w:rPr>
          <w:rFonts w:hint="eastAsia" w:ascii="仿宋" w:hAnsi="仿宋" w:eastAsia="仿宋" w:cs="宋体"/>
          <w:color w:val="auto"/>
          <w:sz w:val="32"/>
          <w:szCs w:val="32"/>
          <w:highlight w:val="none"/>
          <w:u w:val="single"/>
        </w:rPr>
        <w:t>2</w:t>
      </w:r>
      <w:r>
        <w:rPr>
          <w:rFonts w:hint="eastAsia" w:ascii="仿宋" w:hAnsi="仿宋" w:eastAsia="仿宋" w:cs="宋体"/>
          <w:color w:val="auto"/>
          <w:sz w:val="32"/>
          <w:szCs w:val="32"/>
          <w:highlight w:val="none"/>
          <w:u w:val="single"/>
          <w:lang w:val="en-US" w:eastAsia="zh-CN"/>
        </w:rPr>
        <w:t>7</w:t>
      </w:r>
      <w:r>
        <w:rPr>
          <w:rFonts w:hint="eastAsia" w:ascii="仿宋" w:hAnsi="仿宋" w:eastAsia="仿宋" w:cs="宋体"/>
          <w:color w:val="auto"/>
          <w:sz w:val="32"/>
          <w:szCs w:val="32"/>
          <w:highlight w:val="none"/>
        </w:rPr>
        <w:t>日。</w:t>
      </w:r>
    </w:p>
    <w:p w14:paraId="58ADDF32">
      <w:pPr>
        <w:spacing w:line="500" w:lineRule="exact"/>
        <w:ind w:firstLine="640" w:firstLineChars="200"/>
        <w:rPr>
          <w:rFonts w:ascii="仿宋" w:hAnsi="仿宋" w:eastAsia="仿宋"/>
          <w:color w:val="auto"/>
          <w:sz w:val="32"/>
          <w:szCs w:val="32"/>
          <w:highlight w:val="none"/>
        </w:rPr>
      </w:pPr>
      <w:r>
        <w:rPr>
          <w:rFonts w:ascii="仿宋" w:hAnsi="仿宋" w:eastAsia="仿宋" w:cs="宋体"/>
          <w:color w:val="auto"/>
          <w:sz w:val="32"/>
          <w:szCs w:val="32"/>
          <w:highlight w:val="none"/>
        </w:rPr>
        <w:t>2</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开标地点：厦门三圈电池有限公司会议室。</w:t>
      </w:r>
    </w:p>
    <w:p w14:paraId="27DFEFC3">
      <w:pPr>
        <w:spacing w:line="500" w:lineRule="exact"/>
        <w:ind w:firstLine="640" w:firstLineChars="200"/>
        <w:rPr>
          <w:rFonts w:ascii="仿宋" w:hAnsi="仿宋" w:eastAsia="仿宋"/>
          <w:color w:val="auto"/>
          <w:sz w:val="32"/>
          <w:szCs w:val="32"/>
          <w:highlight w:val="none"/>
        </w:rPr>
      </w:pPr>
      <w:r>
        <w:rPr>
          <w:rFonts w:ascii="仿宋" w:hAnsi="仿宋" w:eastAsia="仿宋" w:cs="宋体"/>
          <w:color w:val="auto"/>
          <w:sz w:val="32"/>
          <w:szCs w:val="32"/>
          <w:highlight w:val="none"/>
        </w:rPr>
        <w:t>3</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开标：由我司招标小组对投标人资质审核完毕后，现场开标。</w:t>
      </w:r>
    </w:p>
    <w:p w14:paraId="1118080A">
      <w:pPr>
        <w:spacing w:line="500" w:lineRule="exact"/>
        <w:ind w:firstLine="640" w:firstLineChars="200"/>
        <w:rPr>
          <w:rFonts w:ascii="仿宋" w:hAnsi="仿宋" w:eastAsia="仿宋" w:cs="宋体"/>
          <w:color w:val="auto"/>
          <w:sz w:val="32"/>
          <w:szCs w:val="32"/>
          <w:highlight w:val="none"/>
        </w:rPr>
      </w:pPr>
      <w:r>
        <w:rPr>
          <w:rFonts w:ascii="仿宋" w:hAnsi="仿宋" w:eastAsia="仿宋" w:cs="宋体"/>
          <w:color w:val="auto"/>
          <w:sz w:val="32"/>
          <w:szCs w:val="32"/>
          <w:highlight w:val="none"/>
        </w:rPr>
        <w:t>4</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中标要求：综合评标原则。</w:t>
      </w:r>
    </w:p>
    <w:p w14:paraId="4AA3C339">
      <w:pPr>
        <w:spacing w:line="500" w:lineRule="exact"/>
        <w:ind w:left="616"/>
        <w:rPr>
          <w:rFonts w:ascii="仿宋" w:hAnsi="仿宋" w:eastAsia="仿宋" w:cs="宋体"/>
          <w:color w:val="auto"/>
          <w:sz w:val="32"/>
          <w:szCs w:val="32"/>
          <w:highlight w:val="none"/>
        </w:rPr>
      </w:pPr>
      <w:r>
        <w:rPr>
          <w:rFonts w:hint="eastAsia" w:ascii="仿宋" w:hAnsi="仿宋" w:eastAsia="仿宋" w:cs="宋体"/>
          <w:color w:val="auto"/>
          <w:sz w:val="32"/>
          <w:szCs w:val="32"/>
          <w:highlight w:val="none"/>
          <w:lang w:val="en-US" w:eastAsia="zh-CN"/>
        </w:rPr>
        <w:t>1.</w:t>
      </w:r>
      <w:r>
        <w:rPr>
          <w:rFonts w:hint="eastAsia" w:ascii="仿宋" w:hAnsi="仿宋" w:eastAsia="仿宋" w:cs="宋体"/>
          <w:color w:val="auto"/>
          <w:sz w:val="32"/>
          <w:szCs w:val="32"/>
          <w:highlight w:val="none"/>
        </w:rPr>
        <w:t>报价评分标准（满分40分）</w:t>
      </w:r>
    </w:p>
    <w:p w14:paraId="38937BEF">
      <w:pPr>
        <w:spacing w:line="500" w:lineRule="exact"/>
        <w:ind w:left="34" w:firstLine="568"/>
        <w:rPr>
          <w:rFonts w:ascii="仿宋" w:hAnsi="仿宋" w:eastAsia="仿宋" w:cs="宋体"/>
          <w:color w:val="auto"/>
          <w:sz w:val="32"/>
          <w:szCs w:val="32"/>
          <w:highlight w:val="none"/>
        </w:rPr>
      </w:pPr>
      <w:r>
        <w:rPr>
          <w:rFonts w:hint="eastAsia" w:ascii="仿宋" w:hAnsi="仿宋" w:eastAsia="仿宋" w:cs="宋体"/>
          <w:color w:val="auto"/>
          <w:spacing w:val="-5"/>
          <w:sz w:val="32"/>
          <w:szCs w:val="32"/>
          <w:highlight w:val="none"/>
        </w:rPr>
        <w:t>（1）本次采用折扣率报价方式，投标人按各食材类别的</w:t>
      </w:r>
      <w:r>
        <w:rPr>
          <w:rFonts w:hint="eastAsia" w:ascii="仿宋" w:hAnsi="仿宋" w:eastAsia="仿宋" w:cs="宋体"/>
          <w:color w:val="auto"/>
          <w:spacing w:val="-3"/>
          <w:sz w:val="32"/>
          <w:szCs w:val="32"/>
          <w:highlight w:val="none"/>
        </w:rPr>
        <w:t>投标固定优惠折扣率进行报价，否则其投标作无效投标处理。</w:t>
      </w:r>
    </w:p>
    <w:p w14:paraId="2D07C213">
      <w:pPr>
        <w:spacing w:line="500" w:lineRule="exact"/>
        <w:ind w:left="34" w:right="277" w:firstLine="568"/>
        <w:rPr>
          <w:rFonts w:ascii="仿宋" w:hAnsi="仿宋" w:eastAsia="仿宋" w:cs="宋体"/>
          <w:color w:val="auto"/>
          <w:spacing w:val="-3"/>
          <w:sz w:val="32"/>
          <w:szCs w:val="32"/>
          <w:highlight w:val="none"/>
        </w:rPr>
      </w:pPr>
      <w:r>
        <w:rPr>
          <w:rFonts w:hint="eastAsia" w:ascii="仿宋" w:hAnsi="仿宋" w:eastAsia="仿宋" w:cs="宋体"/>
          <w:color w:val="auto"/>
          <w:spacing w:val="-5"/>
          <w:sz w:val="32"/>
          <w:szCs w:val="32"/>
          <w:highlight w:val="none"/>
        </w:rPr>
        <w:t>（2）在所有有效投标人中，各类别</w:t>
      </w:r>
      <w:r>
        <w:rPr>
          <w:rFonts w:hint="eastAsia" w:ascii="仿宋" w:hAnsi="仿宋" w:eastAsia="仿宋" w:cs="宋体"/>
          <w:color w:val="auto"/>
          <w:spacing w:val="-5"/>
          <w:sz w:val="32"/>
          <w:szCs w:val="32"/>
          <w:highlight w:val="none"/>
          <w:lang w:val="en-US" w:eastAsia="zh-CN"/>
        </w:rPr>
        <w:t>报价满分10分，总计报价得分40分。</w:t>
      </w:r>
      <w:r>
        <w:rPr>
          <w:rFonts w:hint="eastAsia" w:ascii="仿宋" w:hAnsi="仿宋" w:eastAsia="仿宋" w:cs="宋体"/>
          <w:color w:val="auto"/>
          <w:spacing w:val="-5"/>
          <w:sz w:val="32"/>
          <w:szCs w:val="32"/>
          <w:highlight w:val="none"/>
        </w:rPr>
        <w:t>各类别最低的投标固定优惠</w:t>
      </w:r>
      <w:r>
        <w:rPr>
          <w:rFonts w:hint="eastAsia" w:ascii="仿宋" w:hAnsi="仿宋" w:eastAsia="仿宋" w:cs="宋体"/>
          <w:color w:val="auto"/>
          <w:spacing w:val="-2"/>
          <w:sz w:val="32"/>
          <w:szCs w:val="32"/>
          <w:highlight w:val="none"/>
        </w:rPr>
        <w:t>折扣率为评标基准固定优惠折扣率，其他投标人各类别投标报价得分按下列公式计</w:t>
      </w:r>
      <w:r>
        <w:rPr>
          <w:rFonts w:hint="eastAsia" w:ascii="仿宋" w:hAnsi="仿宋" w:eastAsia="仿宋" w:cs="宋体"/>
          <w:color w:val="auto"/>
          <w:spacing w:val="-1"/>
          <w:sz w:val="32"/>
          <w:szCs w:val="32"/>
          <w:highlight w:val="none"/>
        </w:rPr>
        <w:t>算：各类别投标报价得分=（各类别评标基准固定优惠折扣</w:t>
      </w:r>
      <w:r>
        <w:rPr>
          <w:rFonts w:hint="eastAsia" w:ascii="仿宋" w:hAnsi="仿宋" w:eastAsia="仿宋" w:cs="宋体"/>
          <w:color w:val="auto"/>
          <w:spacing w:val="-4"/>
          <w:sz w:val="32"/>
          <w:szCs w:val="32"/>
          <w:highlight w:val="none"/>
        </w:rPr>
        <w:t>率／投标固定优惠折扣率）×</w:t>
      </w:r>
      <w:r>
        <w:rPr>
          <w:rFonts w:hint="eastAsia" w:ascii="仿宋" w:hAnsi="仿宋" w:eastAsia="仿宋" w:cs="宋体"/>
          <w:color w:val="auto"/>
          <w:spacing w:val="-4"/>
          <w:sz w:val="32"/>
          <w:szCs w:val="32"/>
          <w:highlight w:val="none"/>
          <w:lang w:val="en-US" w:eastAsia="zh-CN"/>
        </w:rPr>
        <w:t>10</w:t>
      </w:r>
      <w:r>
        <w:rPr>
          <w:rFonts w:hint="eastAsia" w:ascii="仿宋" w:hAnsi="仿宋" w:eastAsia="仿宋" w:cs="宋体"/>
          <w:color w:val="auto"/>
          <w:spacing w:val="-4"/>
          <w:sz w:val="32"/>
          <w:szCs w:val="32"/>
          <w:highlight w:val="none"/>
        </w:rPr>
        <w:t>。投标人的投</w:t>
      </w:r>
      <w:r>
        <w:rPr>
          <w:rFonts w:hint="eastAsia" w:ascii="仿宋" w:hAnsi="仿宋" w:eastAsia="仿宋" w:cs="宋体"/>
          <w:color w:val="auto"/>
          <w:spacing w:val="-3"/>
          <w:sz w:val="32"/>
          <w:szCs w:val="32"/>
          <w:highlight w:val="none"/>
        </w:rPr>
        <w:t>标报价得分 =各类别投标报价得分的总和。</w:t>
      </w:r>
    </w:p>
    <w:p w14:paraId="5B28ED2A">
      <w:pPr>
        <w:spacing w:line="500" w:lineRule="exact"/>
        <w:ind w:left="643"/>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2. 技术评分</w:t>
      </w:r>
      <w:r>
        <w:rPr>
          <w:rFonts w:ascii="仿宋" w:hAnsi="仿宋" w:eastAsia="仿宋" w:cs="宋体"/>
          <w:color w:val="auto"/>
          <w:sz w:val="32"/>
          <w:szCs w:val="32"/>
          <w:highlight w:val="none"/>
        </w:rPr>
        <w:t>标准(</w:t>
      </w:r>
      <w:r>
        <w:rPr>
          <w:rFonts w:hint="eastAsia" w:ascii="仿宋" w:hAnsi="仿宋" w:eastAsia="仿宋" w:cs="宋体"/>
          <w:color w:val="auto"/>
          <w:sz w:val="32"/>
          <w:szCs w:val="32"/>
          <w:highlight w:val="none"/>
        </w:rPr>
        <w:t>满分50</w:t>
      </w:r>
      <w:r>
        <w:rPr>
          <w:rFonts w:ascii="仿宋" w:hAnsi="仿宋" w:eastAsia="仿宋" w:cs="宋体"/>
          <w:color w:val="auto"/>
          <w:sz w:val="32"/>
          <w:szCs w:val="32"/>
          <w:highlight w:val="none"/>
        </w:rPr>
        <w:t>分)</w:t>
      </w:r>
    </w:p>
    <w:tbl>
      <w:tblPr>
        <w:tblStyle w:val="10"/>
        <w:tblW w:w="8521"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96"/>
        <w:gridCol w:w="725"/>
        <w:gridCol w:w="7000"/>
      </w:tblGrid>
      <w:tr w14:paraId="6775D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4D4C5D6B">
            <w:pPr>
              <w:pStyle w:val="23"/>
              <w:snapToGrid w:val="0"/>
              <w:spacing w:line="520" w:lineRule="exact"/>
              <w:jc w:val="center"/>
              <w:rPr>
                <w:rFonts w:hint="default" w:ascii="仿宋" w:hAnsi="仿宋" w:eastAsia="仿宋" w:cs="宋体"/>
                <w:b/>
                <w:color w:val="auto"/>
                <w:sz w:val="24"/>
                <w:szCs w:val="24"/>
                <w:highlight w:val="none"/>
              </w:rPr>
            </w:pPr>
            <w:r>
              <w:rPr>
                <w:rFonts w:ascii="仿宋" w:hAnsi="仿宋" w:eastAsia="仿宋" w:cs="宋体"/>
                <w:b/>
                <w:color w:val="auto"/>
                <w:sz w:val="24"/>
                <w:szCs w:val="24"/>
                <w:highlight w:val="none"/>
              </w:rPr>
              <w:t>项目</w:t>
            </w:r>
          </w:p>
        </w:tc>
        <w:tc>
          <w:tcPr>
            <w:tcW w:w="725" w:type="dxa"/>
            <w:vAlign w:val="center"/>
          </w:tcPr>
          <w:p w14:paraId="0A13E70B">
            <w:pPr>
              <w:pStyle w:val="23"/>
              <w:snapToGrid w:val="0"/>
              <w:spacing w:line="520" w:lineRule="exact"/>
              <w:jc w:val="center"/>
              <w:rPr>
                <w:rFonts w:hint="default" w:ascii="仿宋" w:hAnsi="仿宋" w:eastAsia="仿宋" w:cs="宋体"/>
                <w:b/>
                <w:color w:val="auto"/>
                <w:sz w:val="24"/>
                <w:szCs w:val="24"/>
                <w:highlight w:val="none"/>
              </w:rPr>
            </w:pPr>
            <w:r>
              <w:rPr>
                <w:rFonts w:ascii="仿宋" w:hAnsi="仿宋" w:eastAsia="仿宋" w:cs="宋体"/>
                <w:b/>
                <w:color w:val="auto"/>
                <w:sz w:val="24"/>
                <w:szCs w:val="24"/>
                <w:highlight w:val="none"/>
              </w:rPr>
              <w:t>分值</w:t>
            </w:r>
          </w:p>
        </w:tc>
        <w:tc>
          <w:tcPr>
            <w:tcW w:w="7000" w:type="dxa"/>
            <w:vAlign w:val="center"/>
          </w:tcPr>
          <w:p w14:paraId="21F18520">
            <w:pPr>
              <w:pStyle w:val="23"/>
              <w:snapToGrid w:val="0"/>
              <w:spacing w:line="520" w:lineRule="exact"/>
              <w:jc w:val="center"/>
              <w:rPr>
                <w:rFonts w:hint="default" w:ascii="仿宋" w:hAnsi="仿宋" w:eastAsia="仿宋" w:cs="宋体"/>
                <w:b/>
                <w:color w:val="auto"/>
                <w:sz w:val="24"/>
                <w:szCs w:val="24"/>
                <w:highlight w:val="none"/>
              </w:rPr>
            </w:pPr>
            <w:r>
              <w:rPr>
                <w:rFonts w:ascii="仿宋" w:hAnsi="仿宋" w:eastAsia="仿宋" w:cs="宋体"/>
                <w:b/>
                <w:color w:val="auto"/>
                <w:sz w:val="24"/>
                <w:szCs w:val="24"/>
                <w:highlight w:val="none"/>
              </w:rPr>
              <w:t>描述</w:t>
            </w:r>
          </w:p>
        </w:tc>
      </w:tr>
      <w:tr w14:paraId="6FD23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3E610834">
            <w:pPr>
              <w:pStyle w:val="23"/>
              <w:snapToGrid w:val="0"/>
              <w:spacing w:line="52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1-1</w:t>
            </w:r>
          </w:p>
          <w:p w14:paraId="6134691B">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配送服务方案</w:t>
            </w:r>
          </w:p>
        </w:tc>
        <w:tc>
          <w:tcPr>
            <w:tcW w:w="725" w:type="dxa"/>
            <w:vAlign w:val="center"/>
          </w:tcPr>
          <w:p w14:paraId="14BA6111">
            <w:pPr>
              <w:pStyle w:val="23"/>
              <w:snapToGrid w:val="0"/>
              <w:spacing w:line="52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5.0</w:t>
            </w:r>
          </w:p>
        </w:tc>
        <w:tc>
          <w:tcPr>
            <w:tcW w:w="7000" w:type="dxa"/>
            <w:vAlign w:val="center"/>
          </w:tcPr>
          <w:p w14:paraId="05133A70">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根据投标人针对本项目提供的配送服务方案进行评价：</w:t>
            </w:r>
          </w:p>
          <w:p w14:paraId="3A49051F">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①提供的配送服务方案，包括配送保障措施、配送流程、明确配送时效的得3分；</w:t>
            </w:r>
          </w:p>
          <w:p w14:paraId="7FA22D02">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②在满足①的基础上，结合项目实际情况，各部分内容详细深入，可充分保障本项目所需的得5分；</w:t>
            </w:r>
          </w:p>
          <w:p w14:paraId="5672FC8D">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③未提供方案或方案不满足以上情况、无操作性的不得分。</w:t>
            </w:r>
          </w:p>
        </w:tc>
      </w:tr>
      <w:tr w14:paraId="134E1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7137EB3E">
            <w:pPr>
              <w:pStyle w:val="23"/>
              <w:snapToGrid w:val="0"/>
              <w:spacing w:line="52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1-2</w:t>
            </w:r>
          </w:p>
          <w:p w14:paraId="11A121F3">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货物质量保证及退换货方案</w:t>
            </w:r>
          </w:p>
        </w:tc>
        <w:tc>
          <w:tcPr>
            <w:tcW w:w="725" w:type="dxa"/>
            <w:vAlign w:val="center"/>
          </w:tcPr>
          <w:p w14:paraId="69631AE7">
            <w:pPr>
              <w:pStyle w:val="23"/>
              <w:snapToGrid w:val="0"/>
              <w:spacing w:line="52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5.0</w:t>
            </w:r>
          </w:p>
        </w:tc>
        <w:tc>
          <w:tcPr>
            <w:tcW w:w="7000" w:type="dxa"/>
            <w:vAlign w:val="center"/>
          </w:tcPr>
          <w:p w14:paraId="05BF9D0C">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根据投标人针对本项目提供的货物质量保证及退换货方案进行评价：</w:t>
            </w:r>
          </w:p>
          <w:p w14:paraId="46C5271F">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①提供的货物质量保证方案包括货物的来源、加工、包装、检验、存储及退换货等整个供货系统各环节的质量与安全保证措施；退换货方案包括退换货时间、处理流程及预防措施的得3分；</w:t>
            </w:r>
          </w:p>
          <w:p w14:paraId="141878FA">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②在满足①的基础上，结合项目实际情况，各部分内容详细，可充分保障本项目所需的得5分；</w:t>
            </w:r>
          </w:p>
          <w:p w14:paraId="6144B93C">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③未提供方案或方案不满足以上情况、无操作性的不得分。</w:t>
            </w:r>
          </w:p>
        </w:tc>
      </w:tr>
      <w:tr w14:paraId="58E61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437F54A9">
            <w:pPr>
              <w:pStyle w:val="23"/>
              <w:snapToGrid w:val="0"/>
              <w:spacing w:line="52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1-3</w:t>
            </w:r>
          </w:p>
          <w:p w14:paraId="501594E0">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应急方案</w:t>
            </w:r>
          </w:p>
        </w:tc>
        <w:tc>
          <w:tcPr>
            <w:tcW w:w="725" w:type="dxa"/>
            <w:vAlign w:val="center"/>
          </w:tcPr>
          <w:p w14:paraId="6D1589A5">
            <w:pPr>
              <w:pStyle w:val="23"/>
              <w:snapToGrid w:val="0"/>
              <w:spacing w:line="52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5.0</w:t>
            </w:r>
          </w:p>
        </w:tc>
        <w:tc>
          <w:tcPr>
            <w:tcW w:w="7000" w:type="dxa"/>
            <w:vAlign w:val="center"/>
          </w:tcPr>
          <w:p w14:paraId="38C3A9C1">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根据投标人针对本项目提供的应急方案进行评价：</w:t>
            </w:r>
          </w:p>
          <w:p w14:paraId="1ACF2F33">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①提供应急方案，包括但不限于发生食品质量问题、食品安全问题、突发状况（逢节假日、突发或临时任务等特殊时期紧急供货、自然灾害如台风、流行性感染疾病）等方面的得3分；</w:t>
            </w:r>
          </w:p>
          <w:p w14:paraId="68DC0610">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 ②在满足①的基础上，有提供具体发生的食品安全事故后的解决措施，针对采购人的临时任务、公司大型会议、员工加班抢产等重要活动提供有效的应急供应符合本项目实施需求的得5分；</w:t>
            </w:r>
          </w:p>
          <w:p w14:paraId="2C8E5892">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 ③未提供方案或方案不满足以上情况、无操作性的不得分。</w:t>
            </w:r>
          </w:p>
        </w:tc>
      </w:tr>
      <w:tr w14:paraId="5BF27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6AB861A5">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1-4</w:t>
            </w:r>
          </w:p>
          <w:p w14:paraId="1F1EB31F">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抽样检测承诺</w:t>
            </w:r>
          </w:p>
        </w:tc>
        <w:tc>
          <w:tcPr>
            <w:tcW w:w="725" w:type="dxa"/>
            <w:vAlign w:val="center"/>
          </w:tcPr>
          <w:p w14:paraId="52581E6F">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5E22D328">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书面承诺（格式自拟）：无条件配合采购人委托第三方检测机构不定期对本项目配送的食品进行抽样检测（抽检比例不超过年采购金额的5%），同时投标人承诺承担相关检测费用并认同检测结果。检测机构、检测食品种类和检测项目由采购人确认，投标人对此无异议。投标人提供上述条款完整书面承诺的得3分，否则不得分。</w:t>
            </w:r>
          </w:p>
        </w:tc>
      </w:tr>
      <w:tr w14:paraId="37591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6B863408">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1-5</w:t>
            </w:r>
          </w:p>
          <w:p w14:paraId="5FA81363">
            <w:pPr>
              <w:spacing w:line="400" w:lineRule="exact"/>
              <w:rPr>
                <w:color w:val="auto"/>
                <w:highlight w:val="none"/>
              </w:rPr>
            </w:pPr>
            <w:r>
              <w:rPr>
                <w:rFonts w:ascii="仿宋" w:hAnsi="仿宋" w:eastAsia="仿宋" w:cs="宋体"/>
                <w:color w:val="auto"/>
                <w:sz w:val="24"/>
                <w:szCs w:val="24"/>
                <w:highlight w:val="none"/>
              </w:rPr>
              <w:t>冻品类货源情况</w:t>
            </w:r>
          </w:p>
          <w:p w14:paraId="6B4F9227">
            <w:pPr>
              <w:pStyle w:val="23"/>
              <w:snapToGrid w:val="0"/>
              <w:spacing w:line="400" w:lineRule="exact"/>
              <w:jc w:val="center"/>
              <w:rPr>
                <w:rFonts w:hint="default" w:ascii="仿宋" w:hAnsi="仿宋" w:eastAsia="仿宋" w:cs="宋体"/>
                <w:color w:val="auto"/>
                <w:sz w:val="24"/>
                <w:szCs w:val="24"/>
                <w:highlight w:val="none"/>
              </w:rPr>
            </w:pPr>
          </w:p>
        </w:tc>
        <w:tc>
          <w:tcPr>
            <w:tcW w:w="725" w:type="dxa"/>
            <w:vAlign w:val="center"/>
          </w:tcPr>
          <w:p w14:paraId="0367ACCF">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6B683D6B">
            <w:pPr>
              <w:pStyle w:val="23"/>
              <w:snapToGrid w:val="0"/>
              <w:spacing w:line="400" w:lineRule="exact"/>
              <w:rPr>
                <w:rFonts w:hint="eastAsia" w:ascii="仿宋" w:hAnsi="仿宋" w:eastAsia="仿宋" w:cs="宋体"/>
                <w:color w:val="auto"/>
                <w:sz w:val="24"/>
                <w:szCs w:val="24"/>
                <w:highlight w:val="none"/>
                <w:lang w:eastAsia="zh-CN"/>
              </w:rPr>
            </w:pPr>
            <w:r>
              <w:rPr>
                <w:rFonts w:ascii="仿宋" w:hAnsi="仿宋" w:eastAsia="仿宋" w:cs="宋体"/>
                <w:color w:val="auto"/>
                <w:sz w:val="24"/>
                <w:szCs w:val="24"/>
                <w:highlight w:val="none"/>
              </w:rPr>
              <w:t>根据投标人提供的冻品类（至少包含鸡腿、烤肠）货源情况进行评价：根据自身符合的情形提供以下有效证明材料</w:t>
            </w:r>
            <w:r>
              <w:rPr>
                <w:rFonts w:hint="eastAsia" w:ascii="仿宋" w:hAnsi="仿宋" w:eastAsia="仿宋" w:cs="宋体"/>
                <w:color w:val="auto"/>
                <w:sz w:val="24"/>
                <w:szCs w:val="24"/>
                <w:highlight w:val="none"/>
                <w:lang w:eastAsia="zh-CN"/>
              </w:rPr>
              <w:t>：</w:t>
            </w:r>
          </w:p>
          <w:p w14:paraId="5E76F177">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属于自产货物的，同时提供：①生产基地照片；②以下二选一：a.基地自购或合作经营的，提供产权证明（产权所有人可以是投标人或其法定代表人）或合作协议；b.基地租赁的，同时提供租赁合同和租赁期内任一期租赁发票扫描件（发票购买方名称须与投标人一致）；</w:t>
            </w:r>
          </w:p>
          <w:p w14:paraId="01EE9D7F">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属于外购货物的，同时提供与货源基地（或供货商）签订的采购合同（或供货协议）和往来发票（发票购买方名称需与投标人一致）扫描件并承诺所提供的发票可在国家税务总局增值税发票查验平台(https://inv-veri.chinatax.gov.cn/index.html)上进行查验。满足的得3分，否则不得分。</w:t>
            </w:r>
          </w:p>
        </w:tc>
      </w:tr>
      <w:tr w14:paraId="2D0AF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34ABC07B">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1-6肉类货源情况</w:t>
            </w:r>
          </w:p>
          <w:p w14:paraId="541A2AF5">
            <w:pPr>
              <w:pStyle w:val="23"/>
              <w:snapToGrid w:val="0"/>
              <w:spacing w:line="400" w:lineRule="exact"/>
              <w:jc w:val="center"/>
              <w:rPr>
                <w:rFonts w:hint="default" w:ascii="仿宋" w:hAnsi="仿宋" w:eastAsia="仿宋" w:cs="宋体"/>
                <w:color w:val="auto"/>
                <w:sz w:val="24"/>
                <w:szCs w:val="24"/>
                <w:highlight w:val="none"/>
              </w:rPr>
            </w:pPr>
          </w:p>
        </w:tc>
        <w:tc>
          <w:tcPr>
            <w:tcW w:w="725" w:type="dxa"/>
            <w:vAlign w:val="center"/>
          </w:tcPr>
          <w:p w14:paraId="655E18B0">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44D3FEA3">
            <w:pPr>
              <w:pStyle w:val="23"/>
              <w:snapToGrid w:val="0"/>
              <w:spacing w:line="400" w:lineRule="exact"/>
              <w:rPr>
                <w:rFonts w:hint="eastAsia" w:ascii="仿宋" w:hAnsi="仿宋" w:eastAsia="仿宋" w:cs="宋体"/>
                <w:color w:val="auto"/>
                <w:sz w:val="24"/>
                <w:szCs w:val="24"/>
                <w:highlight w:val="none"/>
                <w:lang w:eastAsia="zh-CN"/>
              </w:rPr>
            </w:pPr>
            <w:r>
              <w:rPr>
                <w:rFonts w:ascii="仿宋" w:hAnsi="仿宋" w:eastAsia="仿宋" w:cs="宋体"/>
                <w:color w:val="auto"/>
                <w:sz w:val="24"/>
                <w:szCs w:val="24"/>
                <w:highlight w:val="none"/>
              </w:rPr>
              <w:t>根据投标人提供的肉类（至少包含猪肉、牛肉）货源情况进行评价：根据自身符合的情形提供以下有效证明材料</w:t>
            </w:r>
            <w:r>
              <w:rPr>
                <w:rFonts w:hint="eastAsia" w:ascii="仿宋" w:hAnsi="仿宋" w:eastAsia="仿宋" w:cs="宋体"/>
                <w:color w:val="auto"/>
                <w:sz w:val="24"/>
                <w:szCs w:val="24"/>
                <w:highlight w:val="none"/>
                <w:lang w:eastAsia="zh-CN"/>
              </w:rPr>
              <w:t>：</w:t>
            </w:r>
          </w:p>
          <w:p w14:paraId="6CE37D40">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属于自有养殖基地的，同时提供：①养殖基地照片；②以下二选一：a.基地自购或合作经营的，提供产权证明（产权所有人可以是投标人或其法定代表人）或合作协议；b.基地租赁的，同时提供租赁合同和租赁期内任一期租赁发票扫描件（发票购买方名称须与投标人一致）；</w:t>
            </w:r>
          </w:p>
          <w:p w14:paraId="593229E8">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属于外购货物的，同时提供与货源基地（或供货商）签订的采购合同（或供货协议）和往来发票（发票购买方名称需与投标人一致）扫描件并承诺所提供的发票可在国家税务总局增值税发票查验平台(https://inv-veri.chinatax.gov.cn/index.html)上进行查验。满足的得3分，否则不得分。</w:t>
            </w:r>
          </w:p>
        </w:tc>
      </w:tr>
      <w:tr w14:paraId="24741A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3E238B89">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1-7</w:t>
            </w:r>
          </w:p>
          <w:p w14:paraId="2173FDAB">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蔬菜类货源情况</w:t>
            </w:r>
          </w:p>
        </w:tc>
        <w:tc>
          <w:tcPr>
            <w:tcW w:w="725" w:type="dxa"/>
            <w:vAlign w:val="center"/>
          </w:tcPr>
          <w:p w14:paraId="3689C0A9">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494972C1">
            <w:pPr>
              <w:pStyle w:val="23"/>
              <w:snapToGrid w:val="0"/>
              <w:spacing w:line="400" w:lineRule="exact"/>
              <w:rPr>
                <w:rFonts w:hint="eastAsia" w:ascii="仿宋" w:hAnsi="仿宋" w:eastAsia="仿宋" w:cs="宋体"/>
                <w:color w:val="auto"/>
                <w:sz w:val="24"/>
                <w:szCs w:val="24"/>
                <w:highlight w:val="none"/>
                <w:lang w:eastAsia="zh-CN"/>
              </w:rPr>
            </w:pPr>
            <w:r>
              <w:rPr>
                <w:rFonts w:ascii="仿宋" w:hAnsi="仿宋" w:eastAsia="仿宋" w:cs="宋体"/>
                <w:color w:val="auto"/>
                <w:sz w:val="24"/>
                <w:szCs w:val="24"/>
                <w:highlight w:val="none"/>
              </w:rPr>
              <w:t>根据投标人提供的蔬菜类货源情况进行评价：根据自身符合的情形提供以下有效证明材料</w:t>
            </w:r>
            <w:r>
              <w:rPr>
                <w:rFonts w:hint="eastAsia" w:ascii="仿宋" w:hAnsi="仿宋" w:eastAsia="仿宋" w:cs="宋体"/>
                <w:color w:val="auto"/>
                <w:sz w:val="24"/>
                <w:szCs w:val="24"/>
                <w:highlight w:val="none"/>
                <w:lang w:eastAsia="zh-CN"/>
              </w:rPr>
              <w:t>：</w:t>
            </w:r>
          </w:p>
          <w:p w14:paraId="208F234D">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属于自产货物的，同时提供：①生产基地照片；②以下二选一：a.基地自购或合作经营的，提供产权证明（产权所有人可以是投标人或其法定代表人）或合作协议；b.基地租赁的，同时提供租赁合同和租赁期内任一期租赁发票扫描件（发票购买方名称须与投标人一致）；</w:t>
            </w:r>
          </w:p>
          <w:p w14:paraId="0357DED1">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属于外购货物的，同时提供与货源基地（或供货商）签订的采购合同（或供货协议）和往来发票（发票购买方名称需与投标人一致）扫描件并承诺所提供的发票可在国家税务总局增值税发票查验平台(https://inv-veri.chinatax.gov.cn/index.html)上进行查验。满足的得3分，否则不得分。</w:t>
            </w:r>
          </w:p>
        </w:tc>
      </w:tr>
      <w:tr w14:paraId="7BD818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12AAF7BF">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1-8</w:t>
            </w:r>
          </w:p>
          <w:p w14:paraId="62FE52C9">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入市必登平台</w:t>
            </w:r>
          </w:p>
        </w:tc>
        <w:tc>
          <w:tcPr>
            <w:tcW w:w="725" w:type="dxa"/>
            <w:vAlign w:val="center"/>
          </w:tcPr>
          <w:p w14:paraId="243BC46C">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6B15AF9B">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须具备将每日配送食物的食品追溯码发送到相应的食品追溯码平台上的能力（入市必登平台https://spaq.scjg.xm.gov.cn:38087/xmspaq/jsp/login.jsp），并承诺无偿为本项目录入一品一码。投标人须书面承诺（格式自拟）得3分，未提供或不满足不得分。</w:t>
            </w:r>
          </w:p>
        </w:tc>
      </w:tr>
      <w:tr w14:paraId="57287C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shd w:val="clear" w:color="auto" w:fill="auto"/>
            <w:vAlign w:val="center"/>
          </w:tcPr>
          <w:p w14:paraId="6E636F66">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1-9</w:t>
            </w:r>
          </w:p>
          <w:p w14:paraId="367DE04C">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检测仪器</w:t>
            </w:r>
          </w:p>
        </w:tc>
        <w:tc>
          <w:tcPr>
            <w:tcW w:w="725" w:type="dxa"/>
            <w:shd w:val="clear" w:color="auto" w:fill="auto"/>
            <w:vAlign w:val="center"/>
          </w:tcPr>
          <w:p w14:paraId="20530962">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shd w:val="clear" w:color="auto" w:fill="auto"/>
            <w:vAlign w:val="center"/>
          </w:tcPr>
          <w:p w14:paraId="5BC9ABC7">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根据投标人为本项目配备的检测仪器进行评分：</w:t>
            </w:r>
          </w:p>
          <w:p w14:paraId="68E89401">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投标人提供完整配备检测设备，包括具有保障食材安全检测仪器（设备检测内容至少包含：①农药残留检测、②兽药残留检测、③病害肉检测、④瘦肉精检测、⑤食品重金属检测、每提供1个得1分，满分3分。</w:t>
            </w:r>
          </w:p>
          <w:p w14:paraId="5B6A879F">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 1、检测仪器若为自有的：投标人应提供仪器外观图片、购买发票（内容应体现相应设备名称）复印件，发票购买方名称需与投标人一致，且须提供在国家税务总局增值税发票查验平台（https://inv-veri.chinatax.gov.cn/index.html）上对该发票查验结果的截图（发票购买方名称应与投标人一致）；投标人还须承诺上述所有设备中标后投入本项目使用。 </w:t>
            </w:r>
          </w:p>
          <w:p w14:paraId="6CC6A550">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2、检测仪器若为租赁的：投标人应提供仪器外观图片、租赁合同（租赁方名称应与投标人一致）；投标人还须承诺上述所有设备中标后投入本项目使用。 未按上述要求提供证明材料或上述要求不能满足的不得分。</w:t>
            </w:r>
          </w:p>
        </w:tc>
      </w:tr>
      <w:tr w14:paraId="55B3A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6D8E56DE">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1-10</w:t>
            </w:r>
          </w:p>
          <w:p w14:paraId="301374EF">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食品配送冷藏车辆</w:t>
            </w:r>
          </w:p>
        </w:tc>
        <w:tc>
          <w:tcPr>
            <w:tcW w:w="725" w:type="dxa"/>
            <w:vAlign w:val="center"/>
          </w:tcPr>
          <w:p w14:paraId="5D38C4F0">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4.0</w:t>
            </w:r>
          </w:p>
        </w:tc>
        <w:tc>
          <w:tcPr>
            <w:tcW w:w="7000" w:type="dxa"/>
            <w:vAlign w:val="center"/>
          </w:tcPr>
          <w:p w14:paraId="3E5F5795">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根据投标人拟为本项目配备的食品配送冷藏车辆进行评价：每配备一辆具备冷藏功能和定位及监控设备的食品配送车得2分，满分 4分。应提供以下佐证材料：</w:t>
            </w:r>
          </w:p>
          <w:p w14:paraId="363825CA">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属于自有车辆的应提供：①车辆购置发票扫描件（发票购买方名称须与投标人一致）；②有效的车辆行驶证扫描件；③能够体现车牌的照片；④具备冷藏功能的制冷装置照片（若车辆行驶证上可体现冷凝功能的视同认可）；⑤车厢内的监控画面；⑥查询车辆实时位置截图；</w:t>
            </w:r>
          </w:p>
          <w:p w14:paraId="737960A9">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属于租赁的需提供：①有效的租赁合同扫描件；②有效的车辆行驶证扫描件，③能够体现车牌的照片；④具备冷藏功能的制冷装置照片（若车辆行驶证上可体现冷凝功能的视同认可）；⑤车厢内的监控画面；⑥查询车辆实时位置截图；⑦近六个月任意一个月租赁费用发票（发票购买方名称须与投标人一致，投标时租赁合同仍处于有效期内）扫描件并承诺所提供的发票可在国家税务总局增值税发票查验平台(https://inv-veri.chinatax.gov.cn/index.html)上进行查验。未按上述要求提供或不满足不得分。</w:t>
            </w:r>
          </w:p>
        </w:tc>
      </w:tr>
      <w:tr w14:paraId="3E470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16391915">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1-11</w:t>
            </w:r>
          </w:p>
          <w:p w14:paraId="238EE3EB">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食品配送常温车辆</w:t>
            </w:r>
          </w:p>
        </w:tc>
        <w:tc>
          <w:tcPr>
            <w:tcW w:w="725" w:type="dxa"/>
            <w:vAlign w:val="center"/>
          </w:tcPr>
          <w:p w14:paraId="4197FCE0">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4.0</w:t>
            </w:r>
          </w:p>
        </w:tc>
        <w:tc>
          <w:tcPr>
            <w:tcW w:w="7000" w:type="dxa"/>
            <w:vAlign w:val="center"/>
          </w:tcPr>
          <w:p w14:paraId="5712FFF2">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根据投标人拟为本项目配备的食品配送常温车辆进行评价：每配备一辆具备定位及监控设备的食品配送车得2分，满分4 分。应提供以下佐证材料：</w:t>
            </w:r>
          </w:p>
          <w:p w14:paraId="52C52E4C">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（1）属于自有车辆的应提供：①车辆购置发票扫描件；②有效车辆行驶证扫描件；③能够体现车牌的照片；④车厢内的监控画面；⑤查询车辆实时位置截图；</w:t>
            </w:r>
          </w:p>
          <w:p w14:paraId="6406E8A9">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属于租赁的需提供：①有效的租赁合同扫描件；②有效的车辆行驶证扫描件，③能够体现车牌的照片；④车厢内的监控画面；⑤查询车辆实时位置截图；⑥近六个月任意一个月租赁费用发票(发票购买方名称须与投标人一致，投标时租赁合同仍处于有效期内)扫描件并承诺所提供的发票可在国家税务总局增值税发票查验平台(https://inv-veri.chinatax.gov.cn/index.html)上进行查验。未按上述要求提供或不满足不得分。</w:t>
            </w:r>
          </w:p>
        </w:tc>
      </w:tr>
      <w:tr w14:paraId="5347B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410E2B6A">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1-12</w:t>
            </w:r>
          </w:p>
          <w:p w14:paraId="35FC57F3">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常温储藏库</w:t>
            </w:r>
          </w:p>
        </w:tc>
        <w:tc>
          <w:tcPr>
            <w:tcW w:w="725" w:type="dxa"/>
            <w:vAlign w:val="center"/>
          </w:tcPr>
          <w:p w14:paraId="1607C170">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4622B020">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投标人为本项目配备有常温储藏库的得3分。需提供的材料：</w:t>
            </w:r>
          </w:p>
          <w:p w14:paraId="5E12AD3D">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①常温储藏库现场照片（各不少于6个角度的现场照片）；</w:t>
            </w:r>
          </w:p>
          <w:p w14:paraId="445F1DE5">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②常温储藏库监控设备所在位置照片；</w:t>
            </w:r>
          </w:p>
          <w:p w14:paraId="321C4FE2">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③常温储藏库的使用权证明（以下二选一即可）：a.场地自购的，提供场地的产权证明（产权所有人可以是投标人或其法定代表人）；b.场地租赁的须同时提供仍在有效租赁期限内的租赁合同、租赁期内任一期租赁发票扫描件（发票购买方名称须与投标人一致）并承诺所提供的发票可在国家税务总局增值税发票查验平台(https://inv-veri.chinatax.gov.cn/index.html)上进行查验，以及产权所有人的产权证明（存在转租等情形的还须提供可追溯至产权所有人的其他佐证）。未按要求提供佐证材料的不得分。</w:t>
            </w:r>
          </w:p>
        </w:tc>
      </w:tr>
      <w:tr w14:paraId="39F177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46DB1B86">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1-13</w:t>
            </w:r>
          </w:p>
          <w:p w14:paraId="0F56E7E9">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冷冻库及冷藏库</w:t>
            </w:r>
          </w:p>
        </w:tc>
        <w:tc>
          <w:tcPr>
            <w:tcW w:w="725" w:type="dxa"/>
            <w:vAlign w:val="center"/>
          </w:tcPr>
          <w:p w14:paraId="4EAE3AAB">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586583FA">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投标人为本项目配备有冷冻库及冷藏库的得3分。需提供的材料：①冷冻库及冷藏库现场照片（各不少于6个角度的现场照片）；</w:t>
            </w:r>
          </w:p>
          <w:p w14:paraId="6A55FA6C">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②冷冻库及冷藏库监控设备所在位置照片；</w:t>
            </w:r>
          </w:p>
          <w:p w14:paraId="083CFA66">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③冷冻库及冷藏库的使用权证明（以下二选一即可）：a.场地自购的，提供场地的产权证明（产权所有人可以是投标人或其法定代表人）；b.场地租赁的须同时提供仍在有效租赁期限内的租赁合同、租赁期内任一期租赁发票扫描件（发票购买方名称须与投标人一致）并承诺所提供的发票可在国家税务总局增值税发票查验平台(https://inv-veri.chinatax.gov.cn/index.html)上进行查验，以及产权所有人的产权证明（存在转租等情形的还须提供可追溯至产权所有人的其他佐证）。未按要求提供佐证材料的不得分。</w:t>
            </w:r>
          </w:p>
        </w:tc>
      </w:tr>
      <w:tr w14:paraId="5CEDE4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blHeader/>
        </w:trPr>
        <w:tc>
          <w:tcPr>
            <w:tcW w:w="796" w:type="dxa"/>
            <w:vAlign w:val="center"/>
          </w:tcPr>
          <w:p w14:paraId="251CBE97">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1-14</w:t>
            </w:r>
          </w:p>
          <w:p w14:paraId="28246C72">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拟配备的服务人员</w:t>
            </w:r>
          </w:p>
        </w:tc>
        <w:tc>
          <w:tcPr>
            <w:tcW w:w="725" w:type="dxa"/>
            <w:vAlign w:val="center"/>
          </w:tcPr>
          <w:p w14:paraId="022DA6C4">
            <w:pPr>
              <w:pStyle w:val="23"/>
              <w:snapToGrid w:val="0"/>
              <w:spacing w:line="400" w:lineRule="exact"/>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w:t>
            </w:r>
          </w:p>
        </w:tc>
        <w:tc>
          <w:tcPr>
            <w:tcW w:w="7000" w:type="dxa"/>
            <w:vAlign w:val="center"/>
          </w:tcPr>
          <w:p w14:paraId="21F7A6AE">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根据投标人为保障本项目实施拟配备的服务人员进行评价，配备服务人员满足招标文件服务人员最低配置要求的得2分，在此基础上，每增加一名食品检验员的加0.5分，每增加一名专职配送司机的加0.25分，本项满分3分。 </w:t>
            </w:r>
          </w:p>
          <w:p w14:paraId="3BBD1351">
            <w:pPr>
              <w:pStyle w:val="23"/>
              <w:snapToGrid w:val="0"/>
              <w:spacing w:line="400" w:lineRule="exact"/>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需提供以下证明材料：（1）所有服务人员的有效身份证（正、反面）及健康证扫描件；（2）投标截止时间前（不含投标截止时间的当月）六个月任意一个月投标人为其缴交的社保证明材料；（3）专职配送司机还需提供有效的驾驶证扫描件。未完整提供以上证明材料的不得分。</w:t>
            </w:r>
          </w:p>
        </w:tc>
      </w:tr>
    </w:tbl>
    <w:p w14:paraId="319FA57C">
      <w:pPr>
        <w:rPr>
          <w:rFonts w:ascii="宋体" w:hAnsi="宋体" w:cs="宋体"/>
          <w:color w:val="auto"/>
          <w:sz w:val="28"/>
          <w:szCs w:val="28"/>
          <w:highlight w:val="none"/>
        </w:rPr>
      </w:pPr>
      <w:r>
        <w:rPr>
          <w:rFonts w:hint="eastAsia" w:ascii="宋体" w:hAnsi="宋体" w:cs="宋体"/>
          <w:color w:val="auto"/>
          <w:sz w:val="28"/>
          <w:szCs w:val="28"/>
          <w:highlight w:val="none"/>
        </w:rPr>
        <w:br w:type="page"/>
      </w:r>
    </w:p>
    <w:p w14:paraId="4AF5F82E">
      <w:pPr>
        <w:spacing w:line="500" w:lineRule="exact"/>
        <w:rPr>
          <w:rFonts w:ascii="仿宋" w:hAnsi="仿宋" w:eastAsia="仿宋" w:cs="宋体"/>
          <w:color w:val="auto"/>
          <w:sz w:val="32"/>
          <w:szCs w:val="32"/>
          <w:highlight w:val="none"/>
        </w:rPr>
      </w:pPr>
      <w:r>
        <w:rPr>
          <w:rFonts w:hint="eastAsia" w:ascii="宋体" w:hAnsi="宋体" w:cs="宋体"/>
          <w:color w:val="auto"/>
          <w:sz w:val="32"/>
          <w:szCs w:val="32"/>
          <w:highlight w:val="none"/>
        </w:rPr>
        <w:t>3.</w:t>
      </w:r>
      <w:r>
        <w:rPr>
          <w:rFonts w:hint="eastAsia" w:ascii="仿宋" w:hAnsi="仿宋" w:eastAsia="仿宋" w:cs="宋体"/>
          <w:color w:val="auto"/>
          <w:sz w:val="32"/>
          <w:szCs w:val="32"/>
          <w:highlight w:val="none"/>
        </w:rPr>
        <w:t>商务评分</w:t>
      </w:r>
      <w:r>
        <w:rPr>
          <w:rFonts w:ascii="仿宋" w:hAnsi="仿宋" w:eastAsia="仿宋" w:cs="宋体"/>
          <w:color w:val="auto"/>
          <w:sz w:val="32"/>
          <w:szCs w:val="32"/>
          <w:highlight w:val="none"/>
        </w:rPr>
        <w:t>标准(</w:t>
      </w:r>
      <w:r>
        <w:rPr>
          <w:rFonts w:hint="eastAsia" w:ascii="仿宋" w:hAnsi="仿宋" w:eastAsia="仿宋" w:cs="宋体"/>
          <w:color w:val="auto"/>
          <w:sz w:val="32"/>
          <w:szCs w:val="32"/>
          <w:highlight w:val="none"/>
        </w:rPr>
        <w:t>满分10</w:t>
      </w:r>
      <w:r>
        <w:rPr>
          <w:rFonts w:ascii="仿宋" w:hAnsi="仿宋" w:eastAsia="仿宋" w:cs="宋体"/>
          <w:color w:val="auto"/>
          <w:sz w:val="32"/>
          <w:szCs w:val="32"/>
          <w:highlight w:val="none"/>
        </w:rPr>
        <w:t>分)</w:t>
      </w:r>
    </w:p>
    <w:tbl>
      <w:tblPr>
        <w:tblStyle w:val="10"/>
        <w:tblW w:w="875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5"/>
        <w:gridCol w:w="1064"/>
        <w:gridCol w:w="6776"/>
      </w:tblGrid>
      <w:tr w14:paraId="506F1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tcPr>
          <w:p w14:paraId="52A970C4">
            <w:pPr>
              <w:pStyle w:val="23"/>
              <w:jc w:val="both"/>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 项目</w:t>
            </w:r>
          </w:p>
        </w:tc>
        <w:tc>
          <w:tcPr>
            <w:tcW w:w="1064" w:type="dxa"/>
          </w:tcPr>
          <w:p w14:paraId="658C2F61">
            <w:pPr>
              <w:pStyle w:val="23"/>
              <w:jc w:val="both"/>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 分值</w:t>
            </w:r>
          </w:p>
        </w:tc>
        <w:tc>
          <w:tcPr>
            <w:tcW w:w="6776" w:type="dxa"/>
          </w:tcPr>
          <w:p w14:paraId="44C7B467">
            <w:pPr>
              <w:pStyle w:val="23"/>
              <w:jc w:val="both"/>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 xml:space="preserve"> 描述</w:t>
            </w:r>
          </w:p>
        </w:tc>
      </w:tr>
      <w:tr w14:paraId="390E98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5517DCE0">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2-1</w:t>
            </w:r>
          </w:p>
          <w:p w14:paraId="78B10A58">
            <w:pPr>
              <w:pStyle w:val="23"/>
              <w:jc w:val="center"/>
              <w:rPr>
                <w:rFonts w:hint="default" w:ascii="仿宋" w:hAnsi="仿宋" w:eastAsia="仿宋" w:cs="宋体"/>
                <w:color w:val="auto"/>
                <w:sz w:val="24"/>
                <w:szCs w:val="24"/>
                <w:highlight w:val="none"/>
              </w:rPr>
            </w:pPr>
          </w:p>
        </w:tc>
        <w:tc>
          <w:tcPr>
            <w:tcW w:w="1064" w:type="dxa"/>
            <w:vAlign w:val="center"/>
          </w:tcPr>
          <w:p w14:paraId="1A8B49A1">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13F5AFFF">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投标人具有有效的</w:t>
            </w:r>
            <w:r>
              <w:rPr>
                <w:rFonts w:ascii="仿宋" w:hAnsi="仿宋" w:eastAsia="仿宋" w:cs="宋体"/>
                <w:b/>
                <w:color w:val="auto"/>
                <w:sz w:val="24"/>
                <w:szCs w:val="24"/>
                <w:highlight w:val="none"/>
              </w:rPr>
              <w:t>质量管理体系认证</w:t>
            </w:r>
            <w:r>
              <w:rPr>
                <w:rFonts w:ascii="仿宋" w:hAnsi="仿宋" w:eastAsia="仿宋" w:cs="宋体"/>
                <w:color w:val="auto"/>
                <w:sz w:val="24"/>
                <w:szCs w:val="24"/>
                <w:highlight w:val="none"/>
              </w:rPr>
              <w:t>证书的得1分，投标人需提供有效期内的证书扫描件及提供承诺函（格式自拟）承诺该认证证书可在全国认证认可信息公共服务平台（http://cx.cnca.cn/）查询并加盖投标人公章，否则不得分。</w:t>
            </w:r>
          </w:p>
        </w:tc>
      </w:tr>
      <w:tr w14:paraId="05A2A5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2B64055F">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2-2</w:t>
            </w:r>
          </w:p>
        </w:tc>
        <w:tc>
          <w:tcPr>
            <w:tcW w:w="1064" w:type="dxa"/>
            <w:vAlign w:val="center"/>
          </w:tcPr>
          <w:p w14:paraId="488303ED">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67EFCB84">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投标人具有有效的</w:t>
            </w:r>
            <w:r>
              <w:rPr>
                <w:rFonts w:ascii="仿宋" w:hAnsi="仿宋" w:eastAsia="仿宋" w:cs="宋体"/>
                <w:b/>
                <w:color w:val="auto"/>
                <w:sz w:val="24"/>
                <w:szCs w:val="24"/>
                <w:highlight w:val="none"/>
              </w:rPr>
              <w:t>环境管理体系认证证书</w:t>
            </w:r>
            <w:r>
              <w:rPr>
                <w:rFonts w:ascii="仿宋" w:hAnsi="仿宋" w:eastAsia="仿宋" w:cs="宋体"/>
                <w:color w:val="auto"/>
                <w:sz w:val="24"/>
                <w:szCs w:val="24"/>
                <w:highlight w:val="none"/>
              </w:rPr>
              <w:t>的得1分，投标人需提供有效期内的证书扫描件及提供承诺函（格式自拟）承诺该认证证书可在全国认证认可信息公共服务平台（http://cx.cnca.cn/）查询并加盖投标人公章，否则不得分。</w:t>
            </w:r>
          </w:p>
        </w:tc>
      </w:tr>
      <w:tr w14:paraId="5D881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445C7A0A">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2-3</w:t>
            </w:r>
          </w:p>
        </w:tc>
        <w:tc>
          <w:tcPr>
            <w:tcW w:w="1064" w:type="dxa"/>
            <w:vAlign w:val="center"/>
          </w:tcPr>
          <w:p w14:paraId="1A400220">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2D54CC3B">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投标人具有有效的</w:t>
            </w:r>
            <w:r>
              <w:rPr>
                <w:rFonts w:ascii="仿宋" w:hAnsi="仿宋" w:eastAsia="仿宋" w:cs="宋体"/>
                <w:b/>
                <w:color w:val="auto"/>
                <w:sz w:val="24"/>
                <w:szCs w:val="24"/>
                <w:highlight w:val="none"/>
              </w:rPr>
              <w:t>职业健康安全管理体系认证证书</w:t>
            </w:r>
            <w:r>
              <w:rPr>
                <w:rFonts w:ascii="仿宋" w:hAnsi="仿宋" w:eastAsia="仿宋" w:cs="宋体"/>
                <w:color w:val="auto"/>
                <w:sz w:val="24"/>
                <w:szCs w:val="24"/>
                <w:highlight w:val="none"/>
              </w:rPr>
              <w:t>的得1分，投标人需提供有效期内的证书扫描件及提供承诺函（格式自拟）承诺该认证证书可在全国认证认可信息公共服务平台（http://cx.cnca.cn/）查询并加盖投标人公章，否则不得分。</w:t>
            </w:r>
          </w:p>
        </w:tc>
      </w:tr>
      <w:tr w14:paraId="70CE9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38A0AC31">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2-4</w:t>
            </w:r>
          </w:p>
        </w:tc>
        <w:tc>
          <w:tcPr>
            <w:tcW w:w="1064" w:type="dxa"/>
            <w:vAlign w:val="center"/>
          </w:tcPr>
          <w:p w14:paraId="478CFA82">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106A6CBE">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投标人具有有效的</w:t>
            </w:r>
            <w:r>
              <w:rPr>
                <w:rFonts w:ascii="仿宋" w:hAnsi="仿宋" w:eastAsia="仿宋" w:cs="宋体"/>
                <w:b/>
                <w:color w:val="auto"/>
                <w:sz w:val="24"/>
                <w:szCs w:val="24"/>
                <w:highlight w:val="none"/>
              </w:rPr>
              <w:t>食品安全管理体系认证证书</w:t>
            </w:r>
            <w:r>
              <w:rPr>
                <w:rFonts w:ascii="仿宋" w:hAnsi="仿宋" w:eastAsia="仿宋" w:cs="宋体"/>
                <w:color w:val="auto"/>
                <w:sz w:val="24"/>
                <w:szCs w:val="24"/>
                <w:highlight w:val="none"/>
              </w:rPr>
              <w:t>的得1分，投标人需提供有效期内的证书扫描件及提供承诺函（格式自拟）承诺该认证证书可在全国认证认可信息公共服务平台（http://cx.cnca.cn/）查询并加盖投标人公章，否则不得分。</w:t>
            </w:r>
          </w:p>
        </w:tc>
      </w:tr>
      <w:tr w14:paraId="153F2B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42E1D7BF">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2-5</w:t>
            </w:r>
          </w:p>
        </w:tc>
        <w:tc>
          <w:tcPr>
            <w:tcW w:w="1064" w:type="dxa"/>
            <w:vAlign w:val="center"/>
          </w:tcPr>
          <w:p w14:paraId="64BBBC4F">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08CC4B79">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投标人具有有效的</w:t>
            </w:r>
            <w:r>
              <w:rPr>
                <w:rFonts w:ascii="仿宋" w:hAnsi="仿宋" w:eastAsia="仿宋" w:cs="宋体"/>
                <w:b/>
                <w:color w:val="auto"/>
                <w:sz w:val="24"/>
                <w:szCs w:val="24"/>
                <w:highlight w:val="none"/>
              </w:rPr>
              <w:t>危害分析与关键控制点HACCP体系认证证书</w:t>
            </w:r>
            <w:r>
              <w:rPr>
                <w:rFonts w:ascii="仿宋" w:hAnsi="仿宋" w:eastAsia="仿宋" w:cs="宋体"/>
                <w:color w:val="auto"/>
                <w:sz w:val="24"/>
                <w:szCs w:val="24"/>
                <w:highlight w:val="none"/>
              </w:rPr>
              <w:t>的得1分。须提供有效证书扫描件及提供承诺函（格式自拟）承诺该认证证书可在全国认证认可信息公共服务平台（http://cx.cnca.cn/）查询并加盖投标人公章，否则不得分。</w:t>
            </w:r>
          </w:p>
        </w:tc>
      </w:tr>
      <w:tr w14:paraId="5F635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3C21C381">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2-6</w:t>
            </w:r>
          </w:p>
        </w:tc>
        <w:tc>
          <w:tcPr>
            <w:tcW w:w="1064" w:type="dxa"/>
            <w:vAlign w:val="center"/>
          </w:tcPr>
          <w:p w14:paraId="3BB30809">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3774791E">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投标人具有有效的</w:t>
            </w:r>
            <w:r>
              <w:rPr>
                <w:rFonts w:ascii="仿宋" w:hAnsi="仿宋" w:eastAsia="仿宋" w:cs="宋体"/>
                <w:b/>
                <w:color w:val="auto"/>
                <w:sz w:val="24"/>
                <w:szCs w:val="24"/>
                <w:highlight w:val="none"/>
              </w:rPr>
              <w:t>供应链安全管理体系认证证书</w:t>
            </w:r>
            <w:r>
              <w:rPr>
                <w:rFonts w:ascii="仿宋" w:hAnsi="仿宋" w:eastAsia="仿宋" w:cs="宋体"/>
                <w:color w:val="auto"/>
                <w:sz w:val="24"/>
                <w:szCs w:val="24"/>
                <w:highlight w:val="none"/>
              </w:rPr>
              <w:t>的得1分。须提供有效证书扫描件及提供承诺函（格式自拟）承诺该认证证书可在全国认证认可信息公共服务平台（http://cx.cnca.cn/）查询并加盖投标人公章，否则不得分。</w:t>
            </w:r>
          </w:p>
        </w:tc>
      </w:tr>
      <w:tr w14:paraId="0235F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4502C9C7">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2-7</w:t>
            </w:r>
          </w:p>
        </w:tc>
        <w:tc>
          <w:tcPr>
            <w:tcW w:w="1064" w:type="dxa"/>
            <w:vAlign w:val="center"/>
          </w:tcPr>
          <w:p w14:paraId="55F708D3">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1.00</w:t>
            </w:r>
          </w:p>
        </w:tc>
        <w:tc>
          <w:tcPr>
            <w:tcW w:w="6776" w:type="dxa"/>
          </w:tcPr>
          <w:p w14:paraId="28CF1FFD">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投标人须提供书面承诺（格式自拟）：因中标人原因造成无法按时配送货物或配送的货物不符合要求或无法按时退换货，影响采购人正常用餐等情形，采购人有权自行采购。采购人自行采购产生的与合同约定的货款折扣的差额由中标人承担。提供书面承诺的得2分，其余不得分。</w:t>
            </w:r>
          </w:p>
        </w:tc>
      </w:tr>
      <w:tr w14:paraId="76933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15" w:type="dxa"/>
            <w:vAlign w:val="center"/>
          </w:tcPr>
          <w:p w14:paraId="6391CF52">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2-8</w:t>
            </w:r>
          </w:p>
        </w:tc>
        <w:tc>
          <w:tcPr>
            <w:tcW w:w="1064" w:type="dxa"/>
            <w:vAlign w:val="center"/>
          </w:tcPr>
          <w:p w14:paraId="00B971A2">
            <w:pPr>
              <w:pStyle w:val="23"/>
              <w:jc w:val="center"/>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3.00</w:t>
            </w:r>
          </w:p>
        </w:tc>
        <w:tc>
          <w:tcPr>
            <w:tcW w:w="6776" w:type="dxa"/>
          </w:tcPr>
          <w:p w14:paraId="2D791F82">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根据投标人2022年1月1日至开标当日（以合同签订时间为准）同类项目业绩的有效证明文件进行评价，每个有效业绩得1分，满分3分。</w:t>
            </w:r>
          </w:p>
          <w:p w14:paraId="1C2EDA91">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（1）同类业绩是指：投标人承接的食品供货项目。</w:t>
            </w:r>
          </w:p>
          <w:p w14:paraId="25F88E93">
            <w:pPr>
              <w:pStyle w:val="23"/>
              <w:rPr>
                <w:rFonts w:hint="default" w:ascii="仿宋" w:hAnsi="仿宋" w:eastAsia="仿宋" w:cs="宋体"/>
                <w:color w:val="auto"/>
                <w:sz w:val="24"/>
                <w:szCs w:val="24"/>
                <w:highlight w:val="none"/>
              </w:rPr>
            </w:pPr>
            <w:r>
              <w:rPr>
                <w:rFonts w:ascii="仿宋" w:hAnsi="仿宋" w:eastAsia="仿宋" w:cs="宋体"/>
                <w:color w:val="auto"/>
                <w:sz w:val="24"/>
                <w:szCs w:val="24"/>
                <w:highlight w:val="none"/>
              </w:rPr>
              <w:t>（2）需提供业绩的以下四项证明材料，否则不计分：①采购合同文本扫描件； ②能够证明该业绩项目已经采购人年度验收合格的相关证明文件扫描件。</w:t>
            </w:r>
          </w:p>
        </w:tc>
      </w:tr>
    </w:tbl>
    <w:p w14:paraId="4213C83E">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七、执行</w:t>
      </w:r>
    </w:p>
    <w:p w14:paraId="4D92882C">
      <w:pPr>
        <w:spacing w:line="500" w:lineRule="exact"/>
        <w:ind w:firstLine="640" w:firstLineChars="200"/>
        <w:rPr>
          <w:rFonts w:ascii="仿宋" w:hAnsi="仿宋" w:eastAsia="仿宋"/>
          <w:color w:val="auto"/>
          <w:sz w:val="32"/>
          <w:szCs w:val="32"/>
          <w:highlight w:val="none"/>
        </w:rPr>
      </w:pPr>
      <w:r>
        <w:rPr>
          <w:rFonts w:ascii="仿宋" w:hAnsi="仿宋" w:eastAsia="仿宋" w:cs="宋体"/>
          <w:color w:val="auto"/>
          <w:sz w:val="32"/>
          <w:szCs w:val="32"/>
          <w:highlight w:val="none"/>
        </w:rPr>
        <w:t>1</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中标人凭中标通知书，原则上应在三个工作日内到招标方签订项目合同。</w:t>
      </w:r>
    </w:p>
    <w:p w14:paraId="3B5C02D3">
      <w:pPr>
        <w:spacing w:line="500" w:lineRule="exact"/>
        <w:ind w:firstLine="640" w:firstLineChars="2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2</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双方每月15 日前核对上个月的供货账单明细，经双方联系人核实确认无误后，中标方开具等额增值税专用发票或增值税普通发票，采购方自收到中标方开具的发票之日起30个工作日内将款项一次性支付到中标方银行账户。</w:t>
      </w:r>
    </w:p>
    <w:p w14:paraId="177CFCFB">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八、以下投标文件无效：</w:t>
      </w:r>
    </w:p>
    <w:p w14:paraId="0F437B84">
      <w:pPr>
        <w:spacing w:line="5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提交时间超过截止日期，●投标报价高于设定限价，●无法提供本规则要求的合法证件，●投标人信息填写不清，●投标文件未签盖投标人印章的，●投标文件未按规定密封的，●其他不符合本规则要求的文件。</w:t>
      </w:r>
    </w:p>
    <w:p w14:paraId="1424080D">
      <w:pPr>
        <w:spacing w:line="500" w:lineRule="exact"/>
        <w:ind w:firstLine="640" w:firstLineChars="200"/>
        <w:rPr>
          <w:rFonts w:ascii="黑体" w:hAnsi="黑体" w:eastAsia="黑体" w:cs="宋体"/>
          <w:bCs/>
          <w:color w:val="auto"/>
          <w:sz w:val="32"/>
          <w:szCs w:val="32"/>
          <w:highlight w:val="none"/>
        </w:rPr>
      </w:pPr>
      <w:r>
        <w:rPr>
          <w:rFonts w:hint="eastAsia" w:ascii="黑体" w:hAnsi="黑体" w:eastAsia="黑体" w:cs="宋体"/>
          <w:bCs/>
          <w:color w:val="auto"/>
          <w:sz w:val="32"/>
          <w:szCs w:val="32"/>
          <w:highlight w:val="none"/>
        </w:rPr>
        <w:t>九、联系方式</w:t>
      </w:r>
    </w:p>
    <w:p w14:paraId="3B6230FA">
      <w:pPr>
        <w:spacing w:line="500" w:lineRule="exact"/>
        <w:ind w:firstLine="640" w:firstLineChars="2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经办人：陈春江 联系电话：</w:t>
      </w:r>
      <w:r>
        <w:rPr>
          <w:rFonts w:ascii="仿宋" w:hAnsi="仿宋" w:eastAsia="仿宋" w:cs="宋体"/>
          <w:color w:val="auto"/>
          <w:sz w:val="32"/>
          <w:szCs w:val="32"/>
          <w:highlight w:val="none"/>
        </w:rPr>
        <w:t>13860431110</w:t>
      </w:r>
    </w:p>
    <w:p w14:paraId="6A47A86F">
      <w:pPr>
        <w:spacing w:line="500" w:lineRule="exact"/>
        <w:ind w:firstLine="640" w:firstLineChars="2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lang w:val="en-US" w:eastAsia="zh-CN"/>
        </w:rPr>
        <w:t>邮箱：</w:t>
      </w:r>
      <w:r>
        <w:rPr>
          <w:rFonts w:hint="eastAsia" w:ascii="仿宋" w:hAnsi="仿宋" w:eastAsia="仿宋" w:cs="宋体"/>
          <w:color w:val="auto"/>
          <w:sz w:val="32"/>
          <w:szCs w:val="32"/>
          <w:highlight w:val="none"/>
        </w:rPr>
        <w:t>bgs@3-circles.com</w:t>
      </w:r>
    </w:p>
    <w:p w14:paraId="07181014">
      <w:pPr>
        <w:spacing w:line="500" w:lineRule="exact"/>
        <w:ind w:firstLine="640" w:firstLineChars="200"/>
        <w:rPr>
          <w:rFonts w:ascii="仿宋" w:hAnsi="仿宋" w:eastAsia="仿宋"/>
          <w:color w:val="auto"/>
          <w:sz w:val="32"/>
          <w:szCs w:val="32"/>
          <w:highlight w:val="none"/>
        </w:rPr>
      </w:pPr>
    </w:p>
    <w:p w14:paraId="6E346FD1">
      <w:pPr>
        <w:spacing w:line="500" w:lineRule="exact"/>
        <w:ind w:firstLine="640" w:firstLineChars="200"/>
        <w:rPr>
          <w:rFonts w:ascii="仿宋" w:hAnsi="仿宋" w:eastAsia="仿宋"/>
          <w:color w:val="auto"/>
          <w:sz w:val="32"/>
          <w:szCs w:val="32"/>
          <w:highlight w:val="none"/>
        </w:rPr>
      </w:pPr>
    </w:p>
    <w:p w14:paraId="443AD8D0">
      <w:pPr>
        <w:spacing w:line="500" w:lineRule="exact"/>
        <w:ind w:firstLine="640" w:firstLineChars="200"/>
        <w:jc w:val="right"/>
        <w:rPr>
          <w:rFonts w:ascii="仿宋" w:hAnsi="仿宋" w:eastAsia="仿宋"/>
          <w:color w:val="auto"/>
          <w:sz w:val="32"/>
          <w:szCs w:val="32"/>
          <w:highlight w:val="none"/>
        </w:rPr>
      </w:pPr>
      <w:r>
        <w:rPr>
          <w:rFonts w:hint="eastAsia" w:ascii="仿宋" w:hAnsi="仿宋" w:eastAsia="仿宋" w:cs="宋体"/>
          <w:color w:val="auto"/>
          <w:sz w:val="32"/>
          <w:szCs w:val="32"/>
          <w:highlight w:val="none"/>
        </w:rPr>
        <w:t>厦门三圈电池有限公司</w:t>
      </w:r>
    </w:p>
    <w:p w14:paraId="2E456B66">
      <w:pPr>
        <w:spacing w:line="500" w:lineRule="exact"/>
        <w:ind w:firstLine="640" w:firstLineChars="200"/>
        <w:jc w:val="right"/>
        <w:rPr>
          <w:rFonts w:ascii="仿宋" w:hAnsi="仿宋" w:eastAsia="仿宋" w:cs="宋体"/>
          <w:color w:val="auto"/>
          <w:sz w:val="32"/>
          <w:szCs w:val="32"/>
          <w:highlight w:val="none"/>
        </w:rPr>
      </w:pPr>
      <w:r>
        <w:rPr>
          <w:rFonts w:ascii="仿宋" w:hAnsi="仿宋" w:eastAsia="仿宋" w:cs="宋体"/>
          <w:color w:val="auto"/>
          <w:sz w:val="32"/>
          <w:szCs w:val="32"/>
          <w:highlight w:val="none"/>
        </w:rPr>
        <w:t>202</w:t>
      </w:r>
      <w:r>
        <w:rPr>
          <w:rFonts w:hint="eastAsia" w:ascii="仿宋" w:hAnsi="仿宋" w:eastAsia="仿宋" w:cs="宋体"/>
          <w:color w:val="auto"/>
          <w:sz w:val="32"/>
          <w:szCs w:val="32"/>
          <w:highlight w:val="none"/>
        </w:rPr>
        <w:t>6</w:t>
      </w:r>
      <w:r>
        <w:rPr>
          <w:rFonts w:ascii="仿宋" w:hAnsi="仿宋" w:eastAsia="仿宋" w:cs="宋体"/>
          <w:color w:val="auto"/>
          <w:sz w:val="32"/>
          <w:szCs w:val="32"/>
          <w:highlight w:val="none"/>
        </w:rPr>
        <w:t>年</w:t>
      </w:r>
      <w:r>
        <w:rPr>
          <w:rFonts w:hint="eastAsia" w:ascii="仿宋" w:hAnsi="仿宋" w:eastAsia="仿宋" w:cs="宋体"/>
          <w:color w:val="auto"/>
          <w:sz w:val="32"/>
          <w:szCs w:val="32"/>
          <w:highlight w:val="none"/>
        </w:rPr>
        <w:t>3</w:t>
      </w:r>
      <w:r>
        <w:rPr>
          <w:rFonts w:ascii="仿宋" w:hAnsi="仿宋" w:eastAsia="仿宋" w:cs="宋体"/>
          <w:color w:val="auto"/>
          <w:sz w:val="32"/>
          <w:szCs w:val="32"/>
          <w:highlight w:val="none"/>
        </w:rPr>
        <w:t>月</w:t>
      </w:r>
      <w:r>
        <w:rPr>
          <w:rFonts w:hint="eastAsia" w:ascii="仿宋" w:hAnsi="仿宋" w:eastAsia="仿宋" w:cs="宋体"/>
          <w:color w:val="auto"/>
          <w:sz w:val="32"/>
          <w:szCs w:val="32"/>
          <w:highlight w:val="none"/>
          <w:lang w:val="en-US" w:eastAsia="zh-CN"/>
        </w:rPr>
        <w:t>20</w:t>
      </w:r>
      <w:r>
        <w:rPr>
          <w:rFonts w:hint="eastAsia" w:ascii="仿宋" w:hAnsi="仿宋" w:eastAsia="仿宋" w:cs="宋体"/>
          <w:color w:val="auto"/>
          <w:sz w:val="32"/>
          <w:szCs w:val="32"/>
          <w:highlight w:val="none"/>
        </w:rPr>
        <w:t>日</w:t>
      </w:r>
    </w:p>
    <w:p w14:paraId="1486C979">
      <w:pPr>
        <w:spacing w:line="560" w:lineRule="exact"/>
        <w:rPr>
          <w:rFonts w:ascii="仿宋" w:hAnsi="仿宋" w:eastAsia="仿宋" w:cs="仿宋"/>
          <w:color w:val="auto"/>
          <w:sz w:val="32"/>
          <w:szCs w:val="32"/>
          <w:highlight w:val="none"/>
        </w:rPr>
      </w:pPr>
    </w:p>
    <w:bookmarkEnd w:i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UzM2JmOTg1MjVjNDkzNWVmNTkzNzUyMDRkNTRjMTkifQ=="/>
  </w:docVars>
  <w:rsids>
    <w:rsidRoot w:val="00A61541"/>
    <w:rsid w:val="00002B7A"/>
    <w:rsid w:val="000108CB"/>
    <w:rsid w:val="00011130"/>
    <w:rsid w:val="00023795"/>
    <w:rsid w:val="00036AB4"/>
    <w:rsid w:val="0004612F"/>
    <w:rsid w:val="0006113F"/>
    <w:rsid w:val="0006332A"/>
    <w:rsid w:val="00065116"/>
    <w:rsid w:val="00066DC4"/>
    <w:rsid w:val="0007646E"/>
    <w:rsid w:val="00081C09"/>
    <w:rsid w:val="00086235"/>
    <w:rsid w:val="0009305D"/>
    <w:rsid w:val="00093BAA"/>
    <w:rsid w:val="00095814"/>
    <w:rsid w:val="000B652B"/>
    <w:rsid w:val="000C20D3"/>
    <w:rsid w:val="000C25EF"/>
    <w:rsid w:val="000C5725"/>
    <w:rsid w:val="000D32A7"/>
    <w:rsid w:val="000D33EB"/>
    <w:rsid w:val="000E77BA"/>
    <w:rsid w:val="000E7821"/>
    <w:rsid w:val="000F316F"/>
    <w:rsid w:val="000F4E2D"/>
    <w:rsid w:val="000F736B"/>
    <w:rsid w:val="001044F4"/>
    <w:rsid w:val="001050FB"/>
    <w:rsid w:val="00105F1C"/>
    <w:rsid w:val="00110BD6"/>
    <w:rsid w:val="00114EF0"/>
    <w:rsid w:val="00120B11"/>
    <w:rsid w:val="00121C4B"/>
    <w:rsid w:val="00127871"/>
    <w:rsid w:val="00140545"/>
    <w:rsid w:val="00146ADB"/>
    <w:rsid w:val="00146CD4"/>
    <w:rsid w:val="00151046"/>
    <w:rsid w:val="001522D2"/>
    <w:rsid w:val="00153FBC"/>
    <w:rsid w:val="00156509"/>
    <w:rsid w:val="00157BB5"/>
    <w:rsid w:val="00161B36"/>
    <w:rsid w:val="00166691"/>
    <w:rsid w:val="00167D92"/>
    <w:rsid w:val="00173FA1"/>
    <w:rsid w:val="001800D5"/>
    <w:rsid w:val="00183457"/>
    <w:rsid w:val="001A5259"/>
    <w:rsid w:val="001A751F"/>
    <w:rsid w:val="001B1183"/>
    <w:rsid w:val="001B3122"/>
    <w:rsid w:val="001B4CF8"/>
    <w:rsid w:val="001C0734"/>
    <w:rsid w:val="001C3900"/>
    <w:rsid w:val="001C6032"/>
    <w:rsid w:val="001D487E"/>
    <w:rsid w:val="001D57F8"/>
    <w:rsid w:val="001D6149"/>
    <w:rsid w:val="001E78F1"/>
    <w:rsid w:val="001F1747"/>
    <w:rsid w:val="00201CBD"/>
    <w:rsid w:val="00211D1D"/>
    <w:rsid w:val="00215E06"/>
    <w:rsid w:val="00216856"/>
    <w:rsid w:val="0022496F"/>
    <w:rsid w:val="00230454"/>
    <w:rsid w:val="00232744"/>
    <w:rsid w:val="00240F5E"/>
    <w:rsid w:val="00243F82"/>
    <w:rsid w:val="00246F9E"/>
    <w:rsid w:val="00247E5F"/>
    <w:rsid w:val="00255E31"/>
    <w:rsid w:val="00266108"/>
    <w:rsid w:val="00266A48"/>
    <w:rsid w:val="00274319"/>
    <w:rsid w:val="00284675"/>
    <w:rsid w:val="002861AE"/>
    <w:rsid w:val="00293CA7"/>
    <w:rsid w:val="002940E4"/>
    <w:rsid w:val="002A3B68"/>
    <w:rsid w:val="002A4B37"/>
    <w:rsid w:val="002A7395"/>
    <w:rsid w:val="002B340F"/>
    <w:rsid w:val="002C5CC7"/>
    <w:rsid w:val="002D3110"/>
    <w:rsid w:val="002D434F"/>
    <w:rsid w:val="002D5239"/>
    <w:rsid w:val="002E241D"/>
    <w:rsid w:val="002E356B"/>
    <w:rsid w:val="002F1B93"/>
    <w:rsid w:val="002F6CCE"/>
    <w:rsid w:val="002F73A1"/>
    <w:rsid w:val="0031018C"/>
    <w:rsid w:val="00315CD7"/>
    <w:rsid w:val="00321865"/>
    <w:rsid w:val="00321F51"/>
    <w:rsid w:val="00325BD7"/>
    <w:rsid w:val="00333E9D"/>
    <w:rsid w:val="00340DDE"/>
    <w:rsid w:val="003413B1"/>
    <w:rsid w:val="00343712"/>
    <w:rsid w:val="0034522F"/>
    <w:rsid w:val="00350DB8"/>
    <w:rsid w:val="0035167A"/>
    <w:rsid w:val="003556D3"/>
    <w:rsid w:val="00364D61"/>
    <w:rsid w:val="0037649F"/>
    <w:rsid w:val="00384609"/>
    <w:rsid w:val="003906B8"/>
    <w:rsid w:val="00391E34"/>
    <w:rsid w:val="00392628"/>
    <w:rsid w:val="003A2B86"/>
    <w:rsid w:val="003A75BE"/>
    <w:rsid w:val="003B3456"/>
    <w:rsid w:val="003B6F0C"/>
    <w:rsid w:val="003C0D5C"/>
    <w:rsid w:val="003C5CBD"/>
    <w:rsid w:val="003C626F"/>
    <w:rsid w:val="003D1E9E"/>
    <w:rsid w:val="003D5AD1"/>
    <w:rsid w:val="003E7EF4"/>
    <w:rsid w:val="00400BCF"/>
    <w:rsid w:val="00403686"/>
    <w:rsid w:val="0041052A"/>
    <w:rsid w:val="00414EA0"/>
    <w:rsid w:val="00425229"/>
    <w:rsid w:val="00425E34"/>
    <w:rsid w:val="00427CFF"/>
    <w:rsid w:val="004427DF"/>
    <w:rsid w:val="00447EA1"/>
    <w:rsid w:val="004532D4"/>
    <w:rsid w:val="00454DDF"/>
    <w:rsid w:val="00460E69"/>
    <w:rsid w:val="00461749"/>
    <w:rsid w:val="00463926"/>
    <w:rsid w:val="00472AED"/>
    <w:rsid w:val="004A2256"/>
    <w:rsid w:val="004A2C57"/>
    <w:rsid w:val="004A3E52"/>
    <w:rsid w:val="004A3FE3"/>
    <w:rsid w:val="004B6FFA"/>
    <w:rsid w:val="004C3106"/>
    <w:rsid w:val="004C7445"/>
    <w:rsid w:val="004D3743"/>
    <w:rsid w:val="004D5D7E"/>
    <w:rsid w:val="004E6191"/>
    <w:rsid w:val="004E6929"/>
    <w:rsid w:val="004F2A30"/>
    <w:rsid w:val="004F7990"/>
    <w:rsid w:val="004F7B16"/>
    <w:rsid w:val="00505F7A"/>
    <w:rsid w:val="00507BFF"/>
    <w:rsid w:val="00511760"/>
    <w:rsid w:val="00512404"/>
    <w:rsid w:val="00524A18"/>
    <w:rsid w:val="00542DE3"/>
    <w:rsid w:val="00543580"/>
    <w:rsid w:val="005474CE"/>
    <w:rsid w:val="00551697"/>
    <w:rsid w:val="0055619A"/>
    <w:rsid w:val="00564CBA"/>
    <w:rsid w:val="00564E8E"/>
    <w:rsid w:val="00566943"/>
    <w:rsid w:val="0057309E"/>
    <w:rsid w:val="0057558B"/>
    <w:rsid w:val="00576291"/>
    <w:rsid w:val="005778F4"/>
    <w:rsid w:val="005A05CD"/>
    <w:rsid w:val="005A5FDD"/>
    <w:rsid w:val="005A7764"/>
    <w:rsid w:val="005B6271"/>
    <w:rsid w:val="005C1D78"/>
    <w:rsid w:val="005E3C0A"/>
    <w:rsid w:val="005E613D"/>
    <w:rsid w:val="005E74A6"/>
    <w:rsid w:val="006053F1"/>
    <w:rsid w:val="00606AC0"/>
    <w:rsid w:val="00616518"/>
    <w:rsid w:val="006265AC"/>
    <w:rsid w:val="006470B0"/>
    <w:rsid w:val="00651CA7"/>
    <w:rsid w:val="006702A9"/>
    <w:rsid w:val="00670B42"/>
    <w:rsid w:val="0067352D"/>
    <w:rsid w:val="00680646"/>
    <w:rsid w:val="00683D47"/>
    <w:rsid w:val="006A51FD"/>
    <w:rsid w:val="006C466D"/>
    <w:rsid w:val="006C5FD0"/>
    <w:rsid w:val="006C6046"/>
    <w:rsid w:val="006E324A"/>
    <w:rsid w:val="006F02C6"/>
    <w:rsid w:val="006F09BD"/>
    <w:rsid w:val="00701035"/>
    <w:rsid w:val="007016DA"/>
    <w:rsid w:val="00703DA4"/>
    <w:rsid w:val="0071034C"/>
    <w:rsid w:val="00724C00"/>
    <w:rsid w:val="00724D5D"/>
    <w:rsid w:val="00747E51"/>
    <w:rsid w:val="00752803"/>
    <w:rsid w:val="00755C49"/>
    <w:rsid w:val="007612B7"/>
    <w:rsid w:val="00762912"/>
    <w:rsid w:val="007845EB"/>
    <w:rsid w:val="00795DDD"/>
    <w:rsid w:val="007A1E1F"/>
    <w:rsid w:val="007B320C"/>
    <w:rsid w:val="007B7CFA"/>
    <w:rsid w:val="007C0BC6"/>
    <w:rsid w:val="007C29E6"/>
    <w:rsid w:val="007D0DDC"/>
    <w:rsid w:val="007D1605"/>
    <w:rsid w:val="00803D89"/>
    <w:rsid w:val="00805D38"/>
    <w:rsid w:val="00813E80"/>
    <w:rsid w:val="00814B44"/>
    <w:rsid w:val="00821B36"/>
    <w:rsid w:val="00821C40"/>
    <w:rsid w:val="00825685"/>
    <w:rsid w:val="00825B17"/>
    <w:rsid w:val="00826657"/>
    <w:rsid w:val="008270A4"/>
    <w:rsid w:val="008321FF"/>
    <w:rsid w:val="008350F6"/>
    <w:rsid w:val="00844318"/>
    <w:rsid w:val="00850BEA"/>
    <w:rsid w:val="0087006D"/>
    <w:rsid w:val="00870BE8"/>
    <w:rsid w:val="008922B5"/>
    <w:rsid w:val="00895899"/>
    <w:rsid w:val="008A4199"/>
    <w:rsid w:val="008B10DD"/>
    <w:rsid w:val="008B691D"/>
    <w:rsid w:val="008C5352"/>
    <w:rsid w:val="008E1270"/>
    <w:rsid w:val="008E6228"/>
    <w:rsid w:val="009022AF"/>
    <w:rsid w:val="00906435"/>
    <w:rsid w:val="0091119C"/>
    <w:rsid w:val="00916747"/>
    <w:rsid w:val="0092777F"/>
    <w:rsid w:val="0093321C"/>
    <w:rsid w:val="00935B28"/>
    <w:rsid w:val="00936126"/>
    <w:rsid w:val="009422CB"/>
    <w:rsid w:val="00952FCA"/>
    <w:rsid w:val="00964049"/>
    <w:rsid w:val="00985A46"/>
    <w:rsid w:val="009910BF"/>
    <w:rsid w:val="00991673"/>
    <w:rsid w:val="00997159"/>
    <w:rsid w:val="009B3FCC"/>
    <w:rsid w:val="009C2C9F"/>
    <w:rsid w:val="009C381B"/>
    <w:rsid w:val="009D5CEA"/>
    <w:rsid w:val="009D602D"/>
    <w:rsid w:val="009E2310"/>
    <w:rsid w:val="009E30AC"/>
    <w:rsid w:val="009E7879"/>
    <w:rsid w:val="009F047E"/>
    <w:rsid w:val="00A02DAB"/>
    <w:rsid w:val="00A043F3"/>
    <w:rsid w:val="00A06117"/>
    <w:rsid w:val="00A103F8"/>
    <w:rsid w:val="00A123BB"/>
    <w:rsid w:val="00A13EAA"/>
    <w:rsid w:val="00A210CA"/>
    <w:rsid w:val="00A26F6E"/>
    <w:rsid w:val="00A52C5D"/>
    <w:rsid w:val="00A61541"/>
    <w:rsid w:val="00A74E78"/>
    <w:rsid w:val="00A823CD"/>
    <w:rsid w:val="00A84C17"/>
    <w:rsid w:val="00A9133D"/>
    <w:rsid w:val="00AC2876"/>
    <w:rsid w:val="00AC68AC"/>
    <w:rsid w:val="00AC6C18"/>
    <w:rsid w:val="00AD076E"/>
    <w:rsid w:val="00AD08C2"/>
    <w:rsid w:val="00AD0C82"/>
    <w:rsid w:val="00AD169A"/>
    <w:rsid w:val="00AD274C"/>
    <w:rsid w:val="00AD2C25"/>
    <w:rsid w:val="00AE2D3E"/>
    <w:rsid w:val="00AE4F6D"/>
    <w:rsid w:val="00AE6898"/>
    <w:rsid w:val="00AF30CA"/>
    <w:rsid w:val="00AF5F91"/>
    <w:rsid w:val="00B018DC"/>
    <w:rsid w:val="00B0212B"/>
    <w:rsid w:val="00B021B5"/>
    <w:rsid w:val="00B0436B"/>
    <w:rsid w:val="00B071A5"/>
    <w:rsid w:val="00B2546B"/>
    <w:rsid w:val="00B30996"/>
    <w:rsid w:val="00B40203"/>
    <w:rsid w:val="00B4113D"/>
    <w:rsid w:val="00B41C9A"/>
    <w:rsid w:val="00B520CF"/>
    <w:rsid w:val="00B556CF"/>
    <w:rsid w:val="00B75BB6"/>
    <w:rsid w:val="00B77782"/>
    <w:rsid w:val="00B874A9"/>
    <w:rsid w:val="00B90E86"/>
    <w:rsid w:val="00B93673"/>
    <w:rsid w:val="00BA1E68"/>
    <w:rsid w:val="00BD1228"/>
    <w:rsid w:val="00BD35EF"/>
    <w:rsid w:val="00BD3C48"/>
    <w:rsid w:val="00BF1EDE"/>
    <w:rsid w:val="00C028DF"/>
    <w:rsid w:val="00C05F8B"/>
    <w:rsid w:val="00C17ED6"/>
    <w:rsid w:val="00C4535B"/>
    <w:rsid w:val="00C46BDE"/>
    <w:rsid w:val="00C4751F"/>
    <w:rsid w:val="00C600C2"/>
    <w:rsid w:val="00C77406"/>
    <w:rsid w:val="00C95FBE"/>
    <w:rsid w:val="00C96B66"/>
    <w:rsid w:val="00C97C46"/>
    <w:rsid w:val="00CA4700"/>
    <w:rsid w:val="00CB319B"/>
    <w:rsid w:val="00CB508D"/>
    <w:rsid w:val="00CB5BFF"/>
    <w:rsid w:val="00CC074A"/>
    <w:rsid w:val="00CC4FB8"/>
    <w:rsid w:val="00CC5437"/>
    <w:rsid w:val="00CD0B01"/>
    <w:rsid w:val="00CE583C"/>
    <w:rsid w:val="00CE7533"/>
    <w:rsid w:val="00CF5698"/>
    <w:rsid w:val="00D002D4"/>
    <w:rsid w:val="00D01B5C"/>
    <w:rsid w:val="00D128D5"/>
    <w:rsid w:val="00D135B7"/>
    <w:rsid w:val="00D1590F"/>
    <w:rsid w:val="00D21669"/>
    <w:rsid w:val="00D2498E"/>
    <w:rsid w:val="00D300BA"/>
    <w:rsid w:val="00D40751"/>
    <w:rsid w:val="00D4122A"/>
    <w:rsid w:val="00D43F5B"/>
    <w:rsid w:val="00D44054"/>
    <w:rsid w:val="00D45868"/>
    <w:rsid w:val="00D4629F"/>
    <w:rsid w:val="00D50C64"/>
    <w:rsid w:val="00D52050"/>
    <w:rsid w:val="00D56340"/>
    <w:rsid w:val="00D605C7"/>
    <w:rsid w:val="00D66A12"/>
    <w:rsid w:val="00D70D6E"/>
    <w:rsid w:val="00D737A7"/>
    <w:rsid w:val="00D73889"/>
    <w:rsid w:val="00D7486A"/>
    <w:rsid w:val="00D75121"/>
    <w:rsid w:val="00D93114"/>
    <w:rsid w:val="00D95784"/>
    <w:rsid w:val="00DA28D3"/>
    <w:rsid w:val="00DA3D71"/>
    <w:rsid w:val="00DA4D8E"/>
    <w:rsid w:val="00DB0A33"/>
    <w:rsid w:val="00DC2057"/>
    <w:rsid w:val="00DE4FED"/>
    <w:rsid w:val="00E00138"/>
    <w:rsid w:val="00E052E4"/>
    <w:rsid w:val="00E0592D"/>
    <w:rsid w:val="00E11B00"/>
    <w:rsid w:val="00E11CD5"/>
    <w:rsid w:val="00E16689"/>
    <w:rsid w:val="00E25A0A"/>
    <w:rsid w:val="00E31649"/>
    <w:rsid w:val="00E37B16"/>
    <w:rsid w:val="00E42E0C"/>
    <w:rsid w:val="00E53FC0"/>
    <w:rsid w:val="00E73531"/>
    <w:rsid w:val="00E8145D"/>
    <w:rsid w:val="00E9057C"/>
    <w:rsid w:val="00E92F80"/>
    <w:rsid w:val="00EA4AE7"/>
    <w:rsid w:val="00EB06B6"/>
    <w:rsid w:val="00EB342F"/>
    <w:rsid w:val="00EC1486"/>
    <w:rsid w:val="00EC4C37"/>
    <w:rsid w:val="00ED244E"/>
    <w:rsid w:val="00ED2C03"/>
    <w:rsid w:val="00ED4835"/>
    <w:rsid w:val="00ED6D9E"/>
    <w:rsid w:val="00ED6EE8"/>
    <w:rsid w:val="00ED7781"/>
    <w:rsid w:val="00EE5A18"/>
    <w:rsid w:val="00EF0591"/>
    <w:rsid w:val="00F00166"/>
    <w:rsid w:val="00F02EBC"/>
    <w:rsid w:val="00F124AF"/>
    <w:rsid w:val="00F13E27"/>
    <w:rsid w:val="00F16162"/>
    <w:rsid w:val="00F207C7"/>
    <w:rsid w:val="00F25CCB"/>
    <w:rsid w:val="00F262FE"/>
    <w:rsid w:val="00F27C66"/>
    <w:rsid w:val="00F32123"/>
    <w:rsid w:val="00F44DCF"/>
    <w:rsid w:val="00F457F8"/>
    <w:rsid w:val="00F57AE9"/>
    <w:rsid w:val="00F648F4"/>
    <w:rsid w:val="00F663E0"/>
    <w:rsid w:val="00F667D1"/>
    <w:rsid w:val="00F77F2A"/>
    <w:rsid w:val="00F86880"/>
    <w:rsid w:val="00F92465"/>
    <w:rsid w:val="00FA5E93"/>
    <w:rsid w:val="00FB005F"/>
    <w:rsid w:val="00FB6BA6"/>
    <w:rsid w:val="00FB715B"/>
    <w:rsid w:val="00FC4A25"/>
    <w:rsid w:val="00FC5255"/>
    <w:rsid w:val="00FD24A4"/>
    <w:rsid w:val="00FD5473"/>
    <w:rsid w:val="00FE0335"/>
    <w:rsid w:val="00FE2959"/>
    <w:rsid w:val="00FF1006"/>
    <w:rsid w:val="00FF6613"/>
    <w:rsid w:val="00FF79CA"/>
    <w:rsid w:val="04DD71DE"/>
    <w:rsid w:val="0DAB6EFE"/>
    <w:rsid w:val="0F024CF3"/>
    <w:rsid w:val="171B046F"/>
    <w:rsid w:val="1D5C2D46"/>
    <w:rsid w:val="21465B80"/>
    <w:rsid w:val="23AC3027"/>
    <w:rsid w:val="254C1519"/>
    <w:rsid w:val="32750CBB"/>
    <w:rsid w:val="33D377F4"/>
    <w:rsid w:val="34FD58B9"/>
    <w:rsid w:val="43687CE4"/>
    <w:rsid w:val="43A35C0E"/>
    <w:rsid w:val="43ED2096"/>
    <w:rsid w:val="44B518E4"/>
    <w:rsid w:val="46583934"/>
    <w:rsid w:val="467E21E2"/>
    <w:rsid w:val="4CE3798F"/>
    <w:rsid w:val="5A8B6F17"/>
    <w:rsid w:val="5BA86D01"/>
    <w:rsid w:val="5E477161"/>
    <w:rsid w:val="607448F1"/>
    <w:rsid w:val="609A7D40"/>
    <w:rsid w:val="61731ABF"/>
    <w:rsid w:val="64D03916"/>
    <w:rsid w:val="726C05A4"/>
    <w:rsid w:val="73D46C72"/>
    <w:rsid w:val="7462174B"/>
    <w:rsid w:val="74995DC3"/>
    <w:rsid w:val="75AF774D"/>
    <w:rsid w:val="7E152BEE"/>
    <w:rsid w:val="7E3E5104"/>
    <w:rsid w:val="7ED35F49"/>
    <w:rsid w:val="7EE469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link w:val="22"/>
    <w:unhideWhenUsed/>
    <w:qFormat/>
    <w:locked/>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ody Text"/>
    <w:basedOn w:val="1"/>
    <w:link w:val="21"/>
    <w:qFormat/>
    <w:uiPriority w:val="1"/>
    <w:pPr>
      <w:spacing w:before="26"/>
      <w:ind w:left="120"/>
      <w:jc w:val="left"/>
    </w:pPr>
    <w:rPr>
      <w:rFonts w:ascii="宋体" w:hAnsi="宋体" w:cstheme="minorBidi"/>
      <w:kern w:val="0"/>
      <w:sz w:val="28"/>
      <w:szCs w:val="28"/>
      <w:lang w:eastAsia="en-US"/>
    </w:rPr>
  </w:style>
  <w:style w:type="paragraph" w:styleId="5">
    <w:name w:val="Date"/>
    <w:basedOn w:val="1"/>
    <w:next w:val="1"/>
    <w:link w:val="16"/>
    <w:semiHidden/>
    <w:qFormat/>
    <w:uiPriority w:val="99"/>
    <w:pPr>
      <w:ind w:left="100" w:leftChars="2500"/>
    </w:pPr>
  </w:style>
  <w:style w:type="paragraph" w:styleId="6">
    <w:name w:val="Balloon Text"/>
    <w:basedOn w:val="1"/>
    <w:link w:val="15"/>
    <w:semiHidden/>
    <w:qFormat/>
    <w:uiPriority w:val="99"/>
    <w:rPr>
      <w:sz w:val="18"/>
      <w:szCs w:val="18"/>
    </w:rPr>
  </w:style>
  <w:style w:type="paragraph" w:styleId="7">
    <w:name w:val="footer"/>
    <w:basedOn w:val="1"/>
    <w:link w:val="14"/>
    <w:semiHidden/>
    <w:qFormat/>
    <w:uiPriority w:val="99"/>
    <w:pPr>
      <w:tabs>
        <w:tab w:val="center" w:pos="4153"/>
        <w:tab w:val="right" w:pos="8306"/>
      </w:tabs>
      <w:snapToGrid w:val="0"/>
      <w:jc w:val="left"/>
    </w:pPr>
    <w:rPr>
      <w:rFonts w:ascii="宋体" w:hAnsi="Calibri" w:cs="宋体"/>
      <w:kern w:val="30"/>
      <w:sz w:val="18"/>
      <w:szCs w:val="18"/>
    </w:rPr>
  </w:style>
  <w:style w:type="paragraph" w:styleId="8">
    <w:name w:val="header"/>
    <w:basedOn w:val="1"/>
    <w:link w:val="13"/>
    <w:semiHidden/>
    <w:qFormat/>
    <w:uiPriority w:val="99"/>
    <w:pPr>
      <w:pBdr>
        <w:bottom w:val="single" w:color="auto" w:sz="6" w:space="1"/>
      </w:pBdr>
      <w:tabs>
        <w:tab w:val="center" w:pos="4153"/>
        <w:tab w:val="right" w:pos="8306"/>
      </w:tabs>
      <w:snapToGrid w:val="0"/>
      <w:jc w:val="center"/>
    </w:pPr>
    <w:rPr>
      <w:rFonts w:ascii="宋体" w:hAnsi="Calibri" w:cs="宋体"/>
      <w:kern w:val="30"/>
      <w:sz w:val="18"/>
      <w:szCs w:val="18"/>
    </w:rPr>
  </w:style>
  <w:style w:type="paragraph" w:styleId="9">
    <w:name w:val="annotation subject"/>
    <w:basedOn w:val="3"/>
    <w:next w:val="3"/>
    <w:link w:val="20"/>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Char"/>
    <w:link w:val="8"/>
    <w:semiHidden/>
    <w:qFormat/>
    <w:locked/>
    <w:uiPriority w:val="99"/>
    <w:rPr>
      <w:sz w:val="18"/>
      <w:szCs w:val="18"/>
    </w:rPr>
  </w:style>
  <w:style w:type="character" w:customStyle="1" w:styleId="14">
    <w:name w:val="页脚 Char"/>
    <w:link w:val="7"/>
    <w:semiHidden/>
    <w:qFormat/>
    <w:locked/>
    <w:uiPriority w:val="99"/>
    <w:rPr>
      <w:sz w:val="18"/>
      <w:szCs w:val="18"/>
    </w:rPr>
  </w:style>
  <w:style w:type="character" w:customStyle="1" w:styleId="15">
    <w:name w:val="批注框文本 Char"/>
    <w:link w:val="6"/>
    <w:semiHidden/>
    <w:qFormat/>
    <w:locked/>
    <w:uiPriority w:val="99"/>
    <w:rPr>
      <w:rFonts w:ascii="Times New Roman" w:hAnsi="Times New Roman" w:eastAsia="宋体" w:cs="Times New Roman"/>
      <w:kern w:val="2"/>
      <w:sz w:val="18"/>
      <w:szCs w:val="18"/>
    </w:rPr>
  </w:style>
  <w:style w:type="character" w:customStyle="1" w:styleId="16">
    <w:name w:val="日期 Char"/>
    <w:link w:val="5"/>
    <w:semiHidden/>
    <w:qFormat/>
    <w:locked/>
    <w:uiPriority w:val="99"/>
    <w:rPr>
      <w:rFonts w:ascii="Times New Roman" w:hAnsi="Times New Roman" w:eastAsia="宋体" w:cs="Times New Roman"/>
      <w:kern w:val="2"/>
      <w:sz w:val="24"/>
      <w:szCs w:val="24"/>
    </w:rPr>
  </w:style>
  <w:style w:type="paragraph" w:customStyle="1" w:styleId="17">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18">
    <w:name w:val="表头文本"/>
    <w:basedOn w:val="1"/>
    <w:qFormat/>
    <w:uiPriority w:val="0"/>
    <w:pPr>
      <w:autoSpaceDE w:val="0"/>
      <w:autoSpaceDN w:val="0"/>
      <w:adjustRightInd w:val="0"/>
      <w:jc w:val="center"/>
    </w:pPr>
    <w:rPr>
      <w:b/>
      <w:kern w:val="0"/>
      <w:sz w:val="24"/>
      <w:szCs w:val="20"/>
    </w:rPr>
  </w:style>
  <w:style w:type="character" w:customStyle="1" w:styleId="19">
    <w:name w:val="批注文字 Char"/>
    <w:basedOn w:val="11"/>
    <w:link w:val="3"/>
    <w:semiHidden/>
    <w:qFormat/>
    <w:uiPriority w:val="99"/>
    <w:rPr>
      <w:rFonts w:ascii="Times New Roman" w:hAnsi="Times New Roman"/>
      <w:kern w:val="2"/>
      <w:sz w:val="21"/>
      <w:szCs w:val="21"/>
    </w:rPr>
  </w:style>
  <w:style w:type="character" w:customStyle="1" w:styleId="20">
    <w:name w:val="批注主题 Char"/>
    <w:basedOn w:val="19"/>
    <w:link w:val="9"/>
    <w:semiHidden/>
    <w:qFormat/>
    <w:uiPriority w:val="99"/>
    <w:rPr>
      <w:b/>
      <w:bCs/>
    </w:rPr>
  </w:style>
  <w:style w:type="character" w:customStyle="1" w:styleId="21">
    <w:name w:val="正文文本 Char"/>
    <w:basedOn w:val="11"/>
    <w:link w:val="4"/>
    <w:qFormat/>
    <w:uiPriority w:val="1"/>
    <w:rPr>
      <w:rFonts w:hAnsi="宋体" w:cstheme="minorBidi"/>
      <w:sz w:val="28"/>
      <w:szCs w:val="28"/>
      <w:lang w:eastAsia="en-US"/>
    </w:rPr>
  </w:style>
  <w:style w:type="character" w:customStyle="1" w:styleId="22">
    <w:name w:val="标题 3 Char"/>
    <w:basedOn w:val="11"/>
    <w:link w:val="2"/>
    <w:qFormat/>
    <w:uiPriority w:val="0"/>
    <w:rPr>
      <w:rFonts w:ascii="Times New Roman" w:hAnsi="Times New Roman"/>
      <w:b/>
      <w:bCs/>
      <w:kern w:val="2"/>
      <w:sz w:val="32"/>
      <w:szCs w:val="32"/>
    </w:rPr>
  </w:style>
  <w:style w:type="paragraph" w:customStyle="1" w:styleId="23">
    <w:name w:val="null3"/>
    <w:hidden/>
    <w:qFormat/>
    <w:uiPriority w:val="0"/>
    <w:rPr>
      <w:rFonts w:hint="eastAsia" w:asciiTheme="minorHAnsi" w:hAnsiTheme="minorHAnsi" w:eastAsiaTheme="minorEastAsia" w:cstheme="minorBidi"/>
      <w:lang w:val="en-US" w:eastAsia="zh-CN" w:bidi="ar-SA"/>
    </w:rPr>
  </w:style>
  <w:style w:type="table" w:customStyle="1" w:styleId="24">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25">
    <w:name w:val="Table Text"/>
    <w:basedOn w:val="1"/>
    <w:semiHidden/>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11</Pages>
  <Words>5575</Words>
  <Characters>6222</Characters>
  <Lines>54</Lines>
  <Paragraphs>15</Paragraphs>
  <TotalTime>3</TotalTime>
  <ScaleCrop>false</ScaleCrop>
  <LinksUpToDate>false</LinksUpToDate>
  <CharactersWithSpaces>6239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2024-05-29T07:30:00Z</dcterms:created>
  <dc:creator>微软用户</dc:creator>
  <cp:lastModifiedBy>---</cp:lastModifiedBy>
  <cp:lastPrinted>2023-05-15T05:53:00Z</cp:lastPrinted>
  <dcterms:modified xsi:type="dcterms:W3CDTF">2026-03-19T07:16:57Z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4174A467ED5743B49CABF2239903E6BC_13</vt:lpwstr>
  </property>
  <property fmtid="{D5CDD505-2E9C-101B-9397-08002B2CF9AE}" pid="4" name="KSOTemplateDocerSaveRecord">
    <vt:lpwstr>eyJoZGlkIjoiNDU0ODk5YTc2ZDAzMDg2MTE3YTU0N2Q1MjZjM2QwMzUiLCJ1c2VySWQiOiI0Mjk5OTI3NDIifQ==</vt:lpwstr>
  </property>
</Properties>
</file>